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phổ thông, trường phổ thông có nhiều cấp học có cấp học cao nhất là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này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cấp tỉnh thông báo bằng văn bản những nội dung cần chỉnh sửa, bổ sung cho cơ quan, tổ chức, cá nhân;</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Ủy ban nhân dân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w:t>
      </w:r>
    </w:p>
    <w:p>
      <w:pPr>
        <w:spacing w:after="0" w:before="0" w:lineRule="auto" w:line="276"/>
        <w:jc w:val="both"/>
      </w:pPr>
      <w:r>
        <w:rPr>
          <w:rFonts w:ascii="Times New Roman" w:hAnsi="Times New Roman" w:cs="Times New Roman" w:eastAsia="Times New Roman"/>
          <w:b w:val="false"/>
          <w:sz w:val="26"/>
        </w:rPr>
        <w:t>d) Trên cơ sở báo cáo thẩm định của Sở Giáo dục và Đào tạo, Chủ tịch Ủy ban nhân dân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tỉnh thông báo bằng văn bản những nội dung cần chỉnh sửa, bổ sung cho cơ quan, tổ chức, cá nhân.
-  Trường hợp hồ sơ hợp lệ: Trong thời hạn 25 ngày làm việc, kể từ ngày nhận đủ hồ sơ hợp lệ, Ủy ban nhân dân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 Trên cơ sở báo cáo thẩm định của Sở Giáo dục và Đào tạo, Chủ tịch Ủy ban nhân dân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tỉnh thông báo bằng văn bản những nội dung cần chỉnh sửa, bổ sung cho cơ quan, tổ chức, cá nhân.
-  Trường hợp hồ sơ hợp lệ: Trong thời hạn 25 ngày làm việc, kể từ ngày nhận đủ hồ sơ hợp lệ, Ủy ban nhân dân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 Trên cơ sở báo cáo thẩm định của Sở Giáo dục và Đào tạo, Chủ tịch Ủy ban nhân dân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tỉnh thông báo bằng văn bản những nội dung cần chỉnh sửa, bổ sung cho cơ quan, tổ chức, cá nhân.
-  Trường hợp hồ sơ hợp lệ: Trong thời hạn 25 ngày làm việc, kể từ ngày nhận đủ hồ sơ hợp lệ, Ủy ban nhân dân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tỉnh. Trên cơ sở báo cáo thẩm định của Sở Giáo dục và Đào tạo, Chủ tịch Ủy ban nhân dân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phổ thông, trường phổ thông có nhiều cấp học có cấp học cao nhất là trung học phổ thông công lập hoặc cho phép thành lập trường trung học phổ thông, trường phổ thông có nhiều cấp học có cấp học cao nhất là trung học phổ thông tư thục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2026-05-22T22:42:21Z</dcterms:created>
  <dc:creator>Apache POI</dc:creator>
</cp:coreProperties>
</file>