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này qua cổng dịch vụ công trực tuyến hoặc bưu chính hoặc trực tiếp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Ủy ban nhân dân cấp xã thông báo bằng văn bản những nội dung cần chỉnh sửa, bổ sung cho trường mầm non trong trường hợp hồ sơ không hợp lệ;</w:t>
      </w:r>
    </w:p>
    <w:p>
      <w:pPr>
        <w:spacing w:after="0" w:before="0" w:lineRule="auto" w:line="276"/>
        <w:jc w:val="both"/>
      </w:pPr>
      <w:r>
        <w:rPr>
          <w:rFonts w:ascii="Times New Roman" w:hAnsi="Times New Roman" w:cs="Times New Roman" w:eastAsia="Times New Roman"/>
          <w:b w:val="false"/>
          <w:sz w:val="26"/>
        </w:rPr>
        <w:t>c) Trong thời hạn 20 ngày làm việc, kể từ ngày nhận đủ hồ sơ hợp lệ, Ủy ban nhân dân cấp xã thẩm định hồ sơ và thẩm định thực tế (nếu cần thiết) các điều kiện sáp nhập, chia, tách trường mầm non; nếu đủ điều kiện thì Chủ tịch Ủy ban nhân dân cấp xã quyết định việc sáp nhập, chia, tách trường mầm non và cho phép hoạt động giáo dục; nếu chưa đủ điều kiện thì thông báo bằng văn bản cho cơ quan, tổ chức, cá nhân đề nghị sáp nhập, chia, tách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mầm non.
2.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mầm non.
2.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mầm non.
2. Trường hợp hồ sơ hợp lệ: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mầm non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mầm non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mầm non của Chủ tịch Ủy ban nhân dân cấp xã., Quyết định cho phép hoạt động giáo dục đối với trường mầm non sau khi sáp nhập, chia, tách của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theo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2026-05-22T22:44:58Z</dcterms:created>
  <dc:creator>Apache POI</dc:creator>
</cp:coreProperties>
</file>