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1.012922.000.00.00.H32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tra hiện trường rừng trồng bị thiệt hại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Trong thời hạn 03 ngày làm việc kể từ ngày kết thúc đợt thiên tai, dịch bệnh, tổ chức gửi 01 bộ hồ sơ đến cơ quan kiểm lâm cấp huyện hoặc cơ quan chuyên môn cấp huyện được giao (sau đây gọi là cơ quan chuyên môn cấp huyện).
b) Bước 2: Tổ chức kiểm tra hiện trường 
Trong thời hạn 05 ngày làm việc, kể từ ngày nhận được văn bản đề nghị, cơ quan chuyên môn cấp huyện tổ chức kiểm tra hiện trường để xác định nguyên nhân, mức độ thiệt hại rừng trồng. 
Thành phần đoàn kiểm tra hiện trường gồm đại diện: cơ quan chuyên môn cấp huyện; Ủy ban nhân dân cấp xã nơi có rừng bị thiệt hại; chủ rừng hoặc chủ đầu tư dự án có rừng bị thiệt hại; cơ quan chuyên môn cấp huyện xác định nguyên nhân (cơ quan phòng chống thiên tai đối với các nguyên nhân: Do thiên tai theo quy định của pháp luật về phòng chống thiên tai, gồm: bão, áp thấp nhiệt đới, gió mạnh trên biển, lốc, sét, mưa lớn, lũ, lũ quét, ngập lụt; sạt lở đất, sụt lún đất do mưa lũ hoặc dòng chảy hoặc hạn hán; nước dâng, xâm nhập mặn, nắng nóng, hạn hán, cháy rừng do tự nhiên, rét hại, mưa đá, sương mù, sương muối, động đất, sóng thần và các loại thiên tai, sự cố, thảm họa khác hoặc cơ quan thực hiện nhiệm vụ bảo vệ thực vật đối với các nguyên nhân do dịch sâu, bệnh và sinh vật khác gây hại rừng (nếu có).
c) Bước 3: Lập Biên bản kiểm tra hiện trường
Kết quả kiểm tra hiện trường được cơ quan chuyên môn cấp huyện lập thành biên bản theo Mẫu số 02 tại Phụ lục ban hành kèm theo Nghị định số 140/2024/NĐ-CP ngày 25/10/2024 của Chính phủ quy định thanh lý rừng trồng.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xác nhận theo Mẫu số 01 Phụ lục IC ban hành kèm theo Nghị định số 42/2026/NĐ-CP</w:t>
            </w:r>
          </w:p>
        </w:tc>
        <w:tc>
          <w:p/>
          <w:p>
            <w:pPr>
              <w:spacing w:after="0" w:before="0" w:lineRule="auto" w:line="276"/>
              <w:jc w:val="left"/>
            </w:pPr>
            <w:r>
              <w:rPr>
                <w:rFonts w:ascii="Times New Roman" w:hAnsi="Times New Roman" w:cs="Times New Roman" w:eastAsia="Times New Roman"/>
                <w:b w:val="false"/>
                <w:sz w:val="26"/>
              </w:rPr>
              <w:t>Mus02IC.docx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huyện-tỉnh Khánh Hòa, Cơ quan chuyên môn về lâm nghiệp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kiểm tra hiện trường xác định trường hợp, thiệt hại rừng trồng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140/2024/NĐ-CP</w:t>
            </w:r>
          </w:p>
        </w:tc>
        <w:tc>
          <w:p/>
          <w:p>
            <w:pPr>
              <w:spacing w:after="0" w:before="0" w:lineRule="auto" w:line="276"/>
              <w:jc w:val="left"/>
            </w:pPr>
            <w:r>
              <w:rPr>
                <w:rFonts w:ascii="Times New Roman" w:hAnsi="Times New Roman" w:cs="Times New Roman" w:eastAsia="Times New Roman"/>
                <w:b w:val="false"/>
                <w:sz w:val="26"/>
              </w:rPr>
              <w:t>Quy định về thanh lý rừng trồng.</w:t>
            </w:r>
          </w:p>
        </w:tc>
        <w:tc>
          <w:p/>
          <w:p>
            <w:pPr>
              <w:spacing w:after="0" w:before="0" w:lineRule="auto" w:line="276"/>
              <w:jc w:val="left"/>
            </w:pPr>
            <w:r>
              <w:rPr>
                <w:rFonts w:ascii="Times New Roman" w:hAnsi="Times New Roman" w:cs="Times New Roman" w:eastAsia="Times New Roman"/>
                <w:b w:val="false"/>
                <w:sz w:val="26"/>
              </w:rPr>
              <w:t>25-10-2024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trường hợp rừng trồng được thanh lý, gồm:
- Do thiên tai theo quy định của pháp luật về phòng chống thiên tai, gồm: bão, áp thấp nhiệt đới, gió mạnh trên biển, lốc, sét, mưa lớn, lũ, lũ quét, ngập lụt; sạt lở đất, sụt lún đất do mưa lũ hoặc dòng chảy hoặc hạn hán; nước dâng, xâm nhập mặn, nắng nóng, cháy rừng do tự nhiên, rét hại, mưa đá, sương mù, sương muối, động đất, sóng thần và các loại thiên tai, sự cố, thảm họa khác; 
- Do dịch bệnh và sinh vật gây hại rừng;
- Do cháy rừng nhưng không xác định được nguyên nhân do tự nhiên hay con người gây ra.
Trong thời hạn 03 ngày làm việc kể từ ngày kết thúc đợt thiên tai, dịch bệnh, cháy rừng không xác định được nguyên nhân hoặc khi có điều kiện tiếp cận hiện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2026-05-26T20:04:27Z</dcterms:created>
  <dc:creator>Apache POI</dc:creator>
</cp:coreProperties>
</file>