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HỘI TỰ GIẢI THỂ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gửi hồ sơ xin giải thể hội đến Ủy ban nhân dân cấp tỉnh (Sở Nội vụ).</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Sở Nội vụ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tỉnh xem xét, quyết định giải thể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thể hội (theo mẫu);.</w:t>
            </w:r>
          </w:p>
        </w:tc>
        <w:tc>
          <w:p/>
          <w:p>
            <w:pPr>
              <w:spacing w:after="0" w:before="0" w:lineRule="auto" w:line="276"/>
              <w:jc w:val="left"/>
            </w:pPr>
            <w:r>
              <w:rPr>
                <w:rFonts w:ascii="Times New Roman" w:hAnsi="Times New Roman" w:cs="Times New Roman" w:eastAsia="Times New Roman"/>
                <w:b w:val="false"/>
                <w:sz w:val="26"/>
              </w:rPr>
              <w:t>Mẫu số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10</w:t>
            </w:r>
          </w:p>
        </w:tc>
      </w:tr>
      <w:tr>
        <w:tc>
          <w:p/>
          <w:p>
            <w:pPr>
              <w:spacing w:after="0" w:before="0" w:lineRule="auto" w:line="276"/>
              <w:jc w:val="left"/>
            </w:pPr>
            <w:r>
              <w:rPr>
                <w:rFonts w:ascii="Times New Roman" w:hAnsi="Times New Roman" w:cs="Times New Roman" w:eastAsia="Times New Roman"/>
                <w:b w:val="false"/>
                <w:sz w:val="26"/>
              </w:rPr>
              <w:t>- Biên bản có chữ ký của trên 1/2 tổng số hội viên chính thức hoặc nghị quyết của ban chấp hành hội về việc giải thể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tài sản,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phương thức xử lý tài sản, tài chính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Hội thông báo thời hạn thanh toán nợ (nếu có) cho các tổ chức, cá nhân có liên quan theo quy định của pháp luật tại trụ sở của hội, văn phòng đại diện (nếu có) trong thời gian 30 ngày làm việc.
b) Hoàn thành thanh toán nợ và thanh lý tài sản, tài chính ghi trong thông báo của hội khi xin giải thể mà không có đơn khiếu nại.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2026-05-05T15:45:40Z</dcterms:created>
  <dc:creator>Apache POI</dc:creator>
</cp:coreProperties>
</file>