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1.012796.H26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956/QĐ-TTPVHCC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Đính chính Giấy chứng nhận đã cấp lần đầu có sai sót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Trình tự thực hiện</w:t>
      </w:r>
    </w:p>
    <w:p>
      <w:pPr>
        <w:spacing w:after="0" w:before="0" w:lineRule="auto" w:line="276"/>
        <w:jc w:val="both"/>
      </w:pPr>
      <w:r>
        <w:rPr>
          <w:rFonts w:ascii="Times New Roman" w:hAnsi="Times New Roman" w:cs="Times New Roman" w:eastAsia="Times New Roman"/>
          <w:b w:val="false"/>
          <w:sz w:val="26"/>
        </w:rPr>
        <w:t>(1) Người sử dụng đất, chủ sở hữu tài sản gắn liền với đất nộp hồ sơ đến Bộ phận Một cửa theo quy định của Ủy ban nhân dân cấp tỉnh hoặc Văn phòng đăng ký đất đai hoặc Chi nhánh Văn phòng đăng ký đất đai.
Trường hợp cơ quan có thẩm quyền quy định tại Điều 136 của Luật Đất đai phát hiện Giấy chứng nhận đã cấp có sai sót thì thông báo cho người được cấp Giấy chứng nhận và đề nghị nộp lại bản gốc Giấy chứng nhận đã cấp để thực hiện đính chính.
(2) Cơ quan tiếp nhận hồ sơ có trách nhiệm:
a) Kiểm tra tính đầy đủ của thành phần hồ sơ, tính thống nhất về nội dung thông tin giữa các giấy tờ, tính đầy đủ của nội dung kê khai và cấp Giấy tiếp nhận hồ sơ và hẹn trả kết quả theo mẫu quy định tại Nghị định của Chính phủ quy định về thực hiện cơ chế một cửa, một cửa liên thông trong giải quyết thủ tục hành chính. 
Trường hợp hồ sơ không thuộc thẩm quyền tiếp nhận hoặc hồ sơ không đầy đủ thành phần hoặc không đảm bảo tính thống nhất nội dung thông tin giữa các giấy tờ hoặc kê khai nội dung không đầy đủ thông tin theo quy định thì không tiếp nhận và trả hồ sơ cho người yêu cầu đăng ký.
b) Trường hợp cơ quan tiếp nhận hồ sơ là Bộ phận Một cửa theo quy định của Ủy ban nhân dân cấp tỉnh về thực hiện việc tiếp nhận hồ sơ và trả kết quả giải quyết thủ tục hành chính cấp tỉnh, cấp huyện, cấp xã thì chuyển hồ sơ đến Văn phòng đăng ký đất đai. 
Trường hợp người được cấp Giấy chứng nhận phát hiện Giấy chứng nhận cấp lần đầu có sai sót, Cơ quan tiếp nhận hồ sơ chuyển hồ sơ đến cơ quan có chức năng quản lý đất đai.
(3) Cơ quan có thẩm quyền giải quyết có trách nhiệm thực hiện:
Trường hợp người được cấp Giấy chứng nhận phát hiện Giấy chứng nhận cấp lần đầu có sai sót thì cơ quan có chức năng quản lý đất đai thực hiện:
- Thông báo cho Văn phòng đăng ký đất đai hoặc Chi nhánh văn phòng đăng ký đất đai để chuyển hồ sơ cấp Giấy chứng nhận đến cơ quan có chức năng quản lý đất đai;
- Kiểm tra hồ sơ, lập biên bản kết luận về nội dung và nguyên nhân sai sót; 
- Trình cơ quan có thẩm quyền quy định tại khoản 1 Điều 136 của Luật Đất đai xác nhận nội dung đính chính trên Giấy chứng nhận đã cấp hoặc cấp mới Giấy chứng nhận quyền sử dụng đất, quyền sở hữu tài sản gắn liền với đất;
- Chuyển hồ sơ đến Văn phòng đăng ký đất đai hoặc Chi nhánh văn phòng đăng ký đất đai để chỉnh lý, cập nhật biến động vào hồ sơ địa chính, cơ sở dữ liệu đất đai; trao Giấy chứng nhận quyền sử dụng đất, quyền sở hữu tài sản gắn liền với đất hoặc gửi cơ quan tiếp nhận hồ sơ để trao cho người được cấp.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(Việc thu Phí, Lệ phí thực hiện theo quy định của Luật phí và lệ phí, các văn bản quy phạm pháp luật hướng dẫn Luật phí và lệ phí và theo quy định của Hội đồng nhân dân Thành phố (các khoản thuế, thu khác có liên quan thực hiện theo các quy định hiện hành))</w:t>
            </w:r>
          </w:p>
        </w:tc>
        <w:tc>
          <w:p/>
          <w:p>
            <w:pPr>
              <w:spacing w:after="0" w:before="0" w:lineRule="auto" w:line="276"/>
              <w:jc w:val="left"/>
            </w:pPr>
            <w:r>
              <w:rPr>
                <w:rFonts w:ascii="Times New Roman" w:hAnsi="Times New Roman" w:cs="Times New Roman" w:eastAsia="Times New Roman"/>
                <w:b w:val="false"/>
                <w:sz w:val="26"/>
              </w:rPr>
              <w:t>Thời gian giải quyết được tính kể từ ngày nhận được tính kể từ ngày nhận được hồ sơ đã đảm bảo tính đầy đủ, thống nhất;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(Việc thu Phí, Lệ phí thực hiện theo quy định của Luật phí và lệ phí, các văn bản quy phạm pháp luật hướng dẫn Luật phí và lệ phí và theo quy định của Hội đồng nhân dân Thành phố (các khoản thuế, thu khác có liên quan thực hiện theo các quy định hiện hành))</w:t>
            </w:r>
          </w:p>
        </w:tc>
        <w:tc>
          <w:p/>
          <w:p>
            <w:pPr>
              <w:spacing w:after="0" w:before="0" w:lineRule="auto" w:line="276"/>
              <w:jc w:val="left"/>
            </w:pPr>
            <w:r>
              <w:rPr>
                <w:rFonts w:ascii="Times New Roman" w:hAnsi="Times New Roman" w:cs="Times New Roman" w:eastAsia="Times New Roman"/>
                <w:b w:val="false"/>
                <w:sz w:val="26"/>
              </w:rPr>
              <w:t>Thời gian giải quyết được tính kể từ ngày nhận được tính kể từ ngày nhận được hồ sơ đã đảm bảo tính đầy đủ, thống nhất;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(Việc thu Phí, Lệ phí thực hiện theo quy định của Luật phí và lệ phí, các văn bản quy phạm pháp luật hướng dẫn Luật phí và lệ phí và theo quy định của Hội đồng nhân dân Thành phố (các khoản thuế, thu khác có liên quan thực hiện theo các quy định hiện hành))</w:t>
            </w:r>
          </w:p>
        </w:tc>
        <w:tc>
          <w:p/>
          <w:p>
            <w:pPr>
              <w:spacing w:after="0" w:before="0" w:lineRule="auto" w:line="276"/>
              <w:jc w:val="left"/>
            </w:pPr>
            <w:r>
              <w:rPr>
                <w:rFonts w:ascii="Times New Roman" w:hAnsi="Times New Roman" w:cs="Times New Roman" w:eastAsia="Times New Roman"/>
                <w:b w:val="false"/>
                <w:sz w:val="26"/>
              </w:rPr>
              <w:t>Thời gian giải quyết được tính kể từ ngày nhận được tính kể từ ngày nhận được hồ sơ đã đảm bảo tính đầy đủ, thống nhất;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biến động đất đai, tài sản gắn liền với đất theo Mẫu số 18</w:t>
            </w:r>
          </w:p>
        </w:tc>
        <w:tc>
          <w:p/>
          <w:p>
            <w:pPr>
              <w:spacing w:after="0" w:before="0" w:lineRule="auto" w:line="276"/>
              <w:jc w:val="left"/>
            </w:pPr>
            <w:r>
              <w:rPr>
                <w:rFonts w:ascii="Times New Roman" w:hAnsi="Times New Roman" w:cs="Times New Roman" w:eastAsia="Times New Roman"/>
                <w:b w:val="false"/>
                <w:sz w:val="26"/>
              </w:rPr>
              <w:t>Mus18DKBD.docx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chứng minh sai sót thông tin của người được cấp Giấy chứng nhận so với thông tin tại thời điểm đề nghị đính chính hoặc sai sót thông tin về thửa đất, tài sản gắn liền với đất so với thông tin trên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việc ủy quyền theo quy định của pháp luật về dân sự đối với trường hợp thực hiện thủ tục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thành phố Hà Nội Chi nhánh số 01- 12</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2026-05-17T05:57:12Z</dcterms:created>
  <dc:creator>Apache POI</dc:creator>
</cp:coreProperties>
</file>