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1.012756.H55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2354/QD-UBND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đất đai lần đầu đối với trường hợp được Nhà nước giao đất để quản lý.</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(1) Nộp hồ sơ:
- Tổ chức trong nước, tổ chức kinh tế quy định tại khoản 1 Điều 7 của Luật Đất đai nộp hồ sơ tại Bộ phận Một cửa theo quy định của Ủy ban nhân dân cấp tỉnh hoặc Văn phòng đăng ký đất đai;
- Trường hợp người được giao quản lý đất quy định tại khoản 2 và khoản 3 Điều 7 của Luật Đất đai thì Chủ tịch Ủy ban nhân dân các cấp chỉ đạo cơ quan có chức năng quản lý đất đai cùng cấp chuẩn bị 01 bộ hồ sơ và chuyển đến Văn phòng đăng ký đất đai;
- Cộng đồng dân cư nộp hồ sơ đến Ủy ban nhân dân cấp xã. Ủy ban nhân dân cấp xã chuyển hồ sơ đến Văn phòng đăng ký đất đai.
(2) Cơ quan tiếp nhận hồ sơ có trách nhiệm:
a) Kiểm tra tính đầy đủ của thành phần hồ sơ, tính thống nhất về nội dung thông tin giữa các giấy tờ, tính đầy đủ của nội dung kê khai và cấp Giấy tiếp nhận hồ sơ và hẹn trả kết quả theo mẫu quy định tại Nghị định của Chính phủ quy định về thực hiện cơ chế một cửa, một cửa liên thông trong giải quyết thủ tục hành chính. Trường hợp hồ sơ không thuộc thẩm quyền tiếp nhận hoặc hồ sơ không đầy đủ thành phần hoặc không đảm bảo tính thống nhất nội dung thông tin giữa các giấy tờ hoặc kê khai nội dung không đầy đủ thông tin theo quy định thì không tiếp nhận và trả hồ sơ cho người yêu cầu đăng ký. 
b) Trường hợp Bộ phận Một cửa tiếp nhận hồ sơ thì chuyển hồ sơ đến Văn phòng đăng ký đất đai.
(2) Ủy ban nhân dân cấp xã thực hiện các công việc sau đối với cộng đồng dân cư:
a) Xác nhận hiện trạng sử dụng đất có hay không có nhà ở, công trình xây dựng; tình trạng tranh chấp đất đai, tài sản gắn liền với đất;
b) Ngoài nội dung xác nhận theo quy định tại điểm a nêu trên, căn cứ vào trường hợp cụ thể, Ủy ban nhân dân cấp xã xác nhận các nội dung sau: 
- Trường hợp có giấy tờ về quyền sử dụng đất quy định tại khoản 7 Điều 137 của Luật Đất đai thì xác nhận đất sử dụng ổn định theo quy định tại khoản 38 Điều 3 của Luật Đất đai và khoản 3 Điều 34 của Nghị định số 101/2024/NĐ-CP;
- Trường hợp không có giấy tờ về quyền sử dụng đất theo quy định tại Điều 137 của Luật Đất đai thì xác nhận nguồn gốc sử dụng đất; xác nhận việc sử dụng đất ổn định theo quy định tại khoản 38 Điều 3 của Luật Đất đai và khoản 4, khoản 5 Điều 34 của Nghị định số 101/2024/NĐ-CP;
(3) Văn phòng đăng ký đất đai thực hiện việc lập, cập nhật, chỉnh lý hồ sơ địa chính, cơ sở dữ liệu đất đai.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Không quá 20 ngày làm việc tính từ ngày nhận được hồ sơ đã đảm bảo tính đầy đủ của thành phần hồ sơ, tính thống nhất về nội dung thông tin giữa các giấy tờ, tính đầy đủ của nội dung kê khai; không tính thời gian cơ quan có thẩm quyền xác định nghĩa vụ tài chính về đất đai, thời gian thực hiện nghĩa vụ tài chính của người sử dụng đất, thời gian xem xét xử lý đối với trường hợp sử dụng đất có vi phạm pháp luật, thời gian trưng cầu giám định, thời gian niêm yết công khai, đăng tin trên phương tiện thông tin đại chúng.</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các xã miền núi, hải đảo, vùng sâu, vùng xa, vùng có điều kiện kinh tế - xã hội khó khăn, vùng có điều kiện kinh tế - xã hội đặc biệt khó khăn thì thời gian thực hiện được tăng thêm 10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Không quá 20 ngày làm việc tính từ ngày nhận được hồ sơ đã đảm bảo tính đầy đủ của thành phần hồ sơ, tính thống nhất về nội dung thông tin giữa các giấy tờ, tính đầy đủ của nội dung kê khai; không tính thời gian cơ quan có thẩm quyền xác định nghĩa vụ tài chính về đất đai, thời gian thực hiện nghĩa vụ tài chính của người sử dụng đất, thời gian xem xét xử lý đối với trường hợp sử dụng đất có vi phạm pháp luật, thời gian trưng cầu giám định, thời gian niêm yết công khai, đăng tin trên phương tiện thông tin đại chúng.</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các xã miền núi, hải đảo, vùng sâu, vùng xa, vùng có điều kiện kinh tế - xã hội khó khăn, vùng có điều kiện kinh tế - xã hội đặc biệt khó khăn thì thời gian thực hiện được tăng thêm 10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Không quá 20 ngày làm việc tính từ ngày nhận được hồ sơ đã đảm bảo tính đầy đủ của thành phần hồ sơ, tính thống nhất về nội dung thông tin giữa các giấy tờ, tính đầy đủ của nội dung kê khai; không tính thời gian cơ quan có thẩm quyền xác định nghĩa vụ tài chính về đất đai, thời gian thực hiện nghĩa vụ tài chính của người sử dụng đất, thời gian xem xét xử lý đối với trường hợp sử dụng đất có vi phạm pháp luật, thời gian trưng cầu giám định, thời gian niêm yết công khai, đăng tin trên phương tiện thông tin đại chúng.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các xã miền núi, hải đảo, vùng sâu, vùng xa, vùng có điều kiện kinh tế - xã hội khó khăn, vùng có điều kiện kinh tế - xã hội đặc biệt khó khăn thì thời gian thực hiện được tăng thêm 10 ngày làm việc.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Báo cáo kết quả rà soát hiện trạng sử dụng đất theo Mẫu số 15đ ban hành kèm theo Nghị định số 151/2025/NĐ-CP.</w:t>
            </w:r>
          </w:p>
        </w:tc>
        <w:tc>
          <w:p/>
          <w:p>
            <w:pPr>
              <w:spacing w:after="0" w:before="0" w:lineRule="auto" w:line="276"/>
              <w:jc w:val="left"/>
            </w:pPr>
            <w:r>
              <w:rPr>
                <w:rFonts w:ascii="Times New Roman" w:hAnsi="Times New Roman" w:cs="Times New Roman" w:eastAsia="Times New Roman"/>
                <w:b w:val="false"/>
                <w:sz w:val="26"/>
              </w:rPr>
              <w:t>Mus15.docx</w:t>
            </w:r>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Đơn đăng ký đất đai, tài sản gắn liền với đất</w:t>
            </w:r>
          </w:p>
        </w:tc>
        <w:tc>
          <w:p/>
          <w:p>
            <w:pPr>
              <w:spacing w:after="0" w:before="0" w:lineRule="auto" w:line="276"/>
              <w:jc w:val="left"/>
            </w:pPr>
            <w:r>
              <w:rPr>
                <w:rFonts w:ascii="Times New Roman" w:hAnsi="Times New Roman" w:cs="Times New Roman" w:eastAsia="Times New Roman"/>
                <w:b w:val="false"/>
                <w:sz w:val="26"/>
              </w:rPr>
              <w:t>Mus15DKLD.docx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Văn phòng đăng ký đất đai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Văn phòng đăng ký đất đai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Nơi Tiếp nhận hồ sơ và Trả kết quả giải quyết TTHC:  Trung tâm phục vụ hành chính công tỉnh Thái Nguyên Địa chỉ: Số 17, đường Đội Cấn, phường Trưng Vương, thành phố Thái Nguyên, tỉnh Thái Nguyên.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Lập, cập nhật, chỉnh lý hồ sơ địa chính, cơ sở dữ liệu đất đai.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Luật số 32/2024/QH15</w:t>
            </w:r>
          </w:p>
        </w:tc>
        <w:tc>
          <w:p/>
          <w:p>
            <w:pPr>
              <w:spacing w:after="0" w:before="0" w:lineRule="auto" w:line="276"/>
              <w:jc w:val="left"/>
            </w:pPr>
            <w:r>
              <w:rPr>
                <w:rFonts w:ascii="Times New Roman" w:hAnsi="Times New Roman" w:cs="Times New Roman" w:eastAsia="Times New Roman"/>
                <w:b w:val="false"/>
                <w:sz w:val="26"/>
              </w:rPr>
              <w:t>Luật Các tổ chức tín dụng</w:t>
            </w:r>
          </w:p>
        </w:tc>
        <w:tc>
          <w:p/>
          <w:p>
            <w:pPr>
              <w:spacing w:after="0" w:before="0" w:lineRule="auto" w:line="276"/>
              <w:jc w:val="left"/>
            </w:pPr>
            <w:r>
              <w:rPr>
                <w:rFonts w:ascii="Times New Roman" w:hAnsi="Times New Roman" w:cs="Times New Roman" w:eastAsia="Times New Roman"/>
                <w:b w:val="false"/>
                <w:sz w:val="26"/>
              </w:rPr>
              <w:t>18-01-2024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Nghị định 101/2024/NĐ-CP</w:t>
            </w:r>
          </w:p>
        </w:tc>
        <w:tc>
          <w:p/>
          <w:p>
            <w:pPr>
              <w:spacing w:after="0" w:before="0" w:lineRule="auto" w:line="276"/>
              <w:jc w:val="left"/>
            </w:pPr>
            <w:r>
              <w:rPr>
                <w:rFonts w:ascii="Times New Roman" w:hAnsi="Times New Roman" w:cs="Times New Roman" w:eastAsia="Times New Roman"/>
                <w:b w:val="false"/>
                <w:sz w:val="26"/>
              </w:rPr>
              <w:t>Nghị định 101/2024/NĐ-CP</w:t>
            </w:r>
          </w:p>
        </w:tc>
        <w:tc>
          <w:p/>
          <w:p>
            <w:pPr>
              <w:spacing w:after="0" w:before="0" w:lineRule="auto" w:line="276"/>
              <w:jc w:val="left"/>
            </w:pPr>
            <w:r>
              <w:rPr>
                <w:rFonts w:ascii="Times New Roman" w:hAnsi="Times New Roman" w:cs="Times New Roman" w:eastAsia="Times New Roman"/>
                <w:b w:val="false"/>
                <w:sz w:val="26"/>
              </w:rPr>
              <w:t>29-07-2024</w:t>
            </w:r>
          </w:p>
        </w:tc>
        <w:tc>
          <w:p/>
        </w:tc>
      </w:tr>
      <w:tr>
        <w:tc>
          <w:p/>
          <w:p>
            <w:pPr>
              <w:spacing w:after="0" w:before="0" w:lineRule="auto" w:line="276"/>
              <w:jc w:val="left"/>
            </w:pPr>
            <w:r>
              <w:rPr>
                <w:rFonts w:ascii="Times New Roman" w:hAnsi="Times New Roman" w:cs="Times New Roman" w:eastAsia="Times New Roman"/>
                <w:b w:val="false"/>
                <w:sz w:val="26"/>
              </w:rPr>
              <w:t>43/2024/QH15</w:t>
            </w:r>
          </w:p>
        </w:tc>
        <w:tc>
          <w:p/>
          <w:p>
            <w:pPr>
              <w:spacing w:after="0" w:before="0" w:lineRule="auto" w:line="276"/>
              <w:jc w:val="left"/>
            </w:pPr>
            <w:r>
              <w:rPr>
                <w:rFonts w:ascii="Times New Roman" w:hAnsi="Times New Roman" w:cs="Times New Roman" w:eastAsia="Times New Roman"/>
                <w:b w:val="false"/>
                <w:sz w:val="26"/>
              </w:rPr>
              <w:t>Luật số 43/2024/QH15 ngày 29/6/2024</w:t>
            </w:r>
          </w:p>
        </w:tc>
        <w:tc>
          <w:p/>
          <w:p>
            <w:pPr>
              <w:spacing w:after="0" w:before="0" w:lineRule="auto" w:line="276"/>
              <w:jc w:val="left"/>
            </w:pPr>
            <w:r>
              <w:rPr>
                <w:rFonts w:ascii="Times New Roman" w:hAnsi="Times New Roman" w:cs="Times New Roman" w:eastAsia="Times New Roman"/>
                <w:b w:val="false"/>
                <w:sz w:val="26"/>
              </w:rPr>
              <w:t>29-06-2024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27/2023/QH15</w:t>
            </w:r>
          </w:p>
        </w:tc>
        <w:tc>
          <w:p/>
          <w:p>
            <w:pPr>
              <w:spacing w:after="0" w:before="0" w:lineRule="auto" w:line="276"/>
              <w:jc w:val="left"/>
            </w:pPr>
            <w:r>
              <w:rPr>
                <w:rFonts w:ascii="Times New Roman" w:hAnsi="Times New Roman" w:cs="Times New Roman" w:eastAsia="Times New Roman"/>
                <w:b w:val="false"/>
                <w:sz w:val="26"/>
              </w:rPr>
              <w:t>Luật Nhà ở số 27/2023/QH15</w:t>
            </w:r>
          </w:p>
        </w:tc>
        <w:tc>
          <w:p/>
          <w:p>
            <w:pPr>
              <w:spacing w:after="0" w:before="0" w:lineRule="auto" w:line="276"/>
              <w:jc w:val="left"/>
            </w:pPr>
            <w:r>
              <w:rPr>
                <w:rFonts w:ascii="Times New Roman" w:hAnsi="Times New Roman" w:cs="Times New Roman" w:eastAsia="Times New Roman"/>
                <w:b w:val="false"/>
                <w:sz w:val="26"/>
              </w:rPr>
              <w:t>27-11-2023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29/2023/QH15</w:t>
            </w:r>
          </w:p>
        </w:tc>
        <w:tc>
          <w:p/>
          <w:p>
            <w:pPr>
              <w:spacing w:after="0" w:before="0" w:lineRule="auto" w:line="276"/>
              <w:jc w:val="left"/>
            </w:pPr>
            <w:r>
              <w:rPr>
                <w:rFonts w:ascii="Times New Roman" w:hAnsi="Times New Roman" w:cs="Times New Roman" w:eastAsia="Times New Roman"/>
                <w:b w:val="false"/>
                <w:sz w:val="26"/>
              </w:rPr>
              <w:t>Luật Kinh doanh bất động sản số 29/2023/QH15</w:t>
            </w:r>
          </w:p>
        </w:tc>
        <w:tc>
          <w:p/>
          <w:p>
            <w:pPr>
              <w:spacing w:after="0" w:before="0" w:lineRule="auto" w:line="276"/>
              <w:jc w:val="left"/>
            </w:pPr>
            <w:r>
              <w:rPr>
                <w:rFonts w:ascii="Times New Roman" w:hAnsi="Times New Roman" w:cs="Times New Roman" w:eastAsia="Times New Roman"/>
                <w:b w:val="false"/>
                <w:sz w:val="26"/>
              </w:rPr>
              <w:t>28-11-2023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31/2024/QH15</w:t>
            </w:r>
          </w:p>
        </w:tc>
        <w:tc>
          <w:p/>
          <w:p>
            <w:pPr>
              <w:spacing w:after="0" w:before="0" w:lineRule="auto" w:line="276"/>
              <w:jc w:val="left"/>
            </w:pPr>
            <w:r>
              <w:rPr>
                <w:rFonts w:ascii="Times New Roman" w:hAnsi="Times New Roman" w:cs="Times New Roman" w:eastAsia="Times New Roman"/>
                <w:b w:val="false"/>
                <w:sz w:val="26"/>
              </w:rPr>
              <w:t>Luật Đất đai 2024</w:t>
            </w:r>
          </w:p>
        </w:tc>
        <w:tc>
          <w:p/>
          <w:p>
            <w:pPr>
              <w:spacing w:after="0" w:before="0" w:lineRule="auto" w:line="276"/>
              <w:jc w:val="left"/>
            </w:pPr>
            <w:r>
              <w:rPr>
                <w:rFonts w:ascii="Times New Roman" w:hAnsi="Times New Roman" w:cs="Times New Roman" w:eastAsia="Times New Roman"/>
                <w:b w:val="false"/>
                <w:sz w:val="26"/>
              </w:rPr>
              <w:t>01-02-2024</w:t>
            </w:r>
          </w:p>
        </w:tc>
        <w:tc>
          <w:p/>
          <w:p>
            <w:pPr>
              <w:spacing w:after="0" w:before="0" w:lineRule="auto" w:line="276"/>
              <w:jc w:val="left"/>
            </w:pPr>
            <w:r>
              <w:rPr>
                <w:rFonts w:ascii="Times New Roman" w:hAnsi="Times New Roman" w:cs="Times New Roman" w:eastAsia="Times New Roman"/>
                <w:b w:val="false"/>
                <w:sz w:val="26"/>
              </w:rPr>
              <w:t>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yêu cầu thực hiện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2026-05-15T03:32:47Z</dcterms:created>
  <dc:creator>Apache POI</dc:creator>
</cp:coreProperties>
</file>