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lại diện tích đất ở của hộ gia đình, cá nhân đã được cấp Giấy chứng nhận trước ngày 01 tháng 7 năm 2004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w:t>
      </w:r>
    </w:p>
    <w:p>
      <w:pPr>
        <w:spacing w:after="0" w:before="0" w:lineRule="auto" w:line="276"/>
        <w:jc w:val="both"/>
      </w:pPr>
      <w:r>
        <w:rPr>
          <w:rFonts w:ascii="Times New Roman" w:hAnsi="Times New Roman" w:cs="Times New Roman" w:eastAsia="Times New Roman"/>
          <w:b w:val="false"/>
          <w:sz w:val="26"/>
        </w:rPr>
        <w:t>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cơ quan có chức năng quản lý đất đai cấp xã.</w:t>
      </w:r>
    </w:p>
    <w:p>
      <w:pPr>
        <w:spacing w:after="0" w:before="0" w:lineRule="auto" w:line="276"/>
        <w:jc w:val="both"/>
      </w:pPr>
      <w:r>
        <w:rPr>
          <w:rFonts w:ascii="Times New Roman" w:hAnsi="Times New Roman" w:cs="Times New Roman" w:eastAsia="Times New Roman"/>
          <w:b w:val="false"/>
          <w:sz w:val="26"/>
        </w:rPr>
        <w:t>Bước 3: Cơ quan có chức năng quản lý đất đai cấp xã thực hiện:
- Thông báo cho Chi nhánh Văn phòng đăng ký đất đai cung cấp hồ sơ cấp giấy chứng nhận lần đầu.
- Kiểm tra hồ sơ cấp giấy chứng nhận trước đây, trường hợp đủ điều kiện xác định lại diện tích đất ở theo quy định tại khoản 6 Điều 141 Luật Đất đai thì trình Chủ tịch Ủy ban nhân dân cấp xã xác định lại diện tích đất ở và cấp Giấy chứng nhận cho người sử dụng đất. 
- Chuyển Giấy chứng nhận đến cơ quan tiếp nhận hồ sơ để trao cho người được cấp.
- Chuyển hồ sơ kèm theo bản sao Giấy chứng nhận đã cấp đến Chi nhánh Văn phòng đăng ký đất đai để chỉnh lý, cập nhật biến động vào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2026-05-02T09:18:09Z</dcterms:created>
  <dc:creator>Apache POI</dc:creator>
</cp:coreProperties>
</file>