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 lần đầu có sai sót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đính chính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w:t>
      </w:r>
    </w:p>
    <w:p>
      <w:pPr>
        <w:spacing w:after="0" w:before="0" w:lineRule="auto" w:line="276"/>
        <w:jc w:val="both"/>
      </w:pPr>
      <w:r>
        <w:rPr>
          <w:rFonts w:ascii="Times New Roman" w:hAnsi="Times New Roman" w:cs="Times New Roman" w:eastAsia="Times New Roman"/>
          <w:b w:val="false"/>
          <w:sz w:val="26"/>
        </w:rPr>
        <w:t>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cơ quan có chức năng quản lý đất đai cấp xã.</w:t>
      </w:r>
    </w:p>
    <w:p>
      <w:pPr>
        <w:spacing w:after="0" w:before="0" w:lineRule="auto" w:line="276"/>
        <w:jc w:val="both"/>
      </w:pPr>
      <w:r>
        <w:rPr>
          <w:rFonts w:ascii="Times New Roman" w:hAnsi="Times New Roman" w:cs="Times New Roman" w:eastAsia="Times New Roman"/>
          <w:b w:val="false"/>
          <w:sz w:val="26"/>
        </w:rPr>
        <w:t>Bước 3: Cơ quan có chức năng quản lý đất đai cấp xã thực hiện:
- Thông báo cho Văn phòng đăng ký đất đai, Chi nhánh văn phòng đăng ký đất đai để chuyển hồ sơ cấp Giấy chứng nhận lần đầu để kiểm tra hồ sơ, lập biên bản kết luận về nội dung và nguyên nhân sai sót.
- Trình Chủ tịch Ủy ban nhân dân cấp xã xác nhận nội dung đính chính trên Giấy chứng nhận đã cấp hoặc cấp mới Giấy chứng nhận quyền sử dụng đất, quyền sở hữu tài sản gắn liền với đất.
- Chuyển Giấy chứng nhận đến cơ quan tiếp nhận hồ sơ để trao cho người được cấp.
- Chuyển hồ sơ đến Văn phòng đăng ký đất đai, Chi nhánh văn phòng đăng ký đất đai để chỉnh lý, cập nhật biến động vào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2026-05-04T09:47:59Z</dcterms:created>
  <dc:creator>Apache POI</dc:creator>
</cp:coreProperties>
</file>