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2.002645.000.00.00.H32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Trong thời hạn 03 ngày làm việc kể từ ngày nhận được thông báo, cơ quan đăng ký kinh doanh cấp huyện phải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false"/>
          <w:sz w:val="26"/>
        </w:rPr>
        <w:t>Trong thời hạn 06 tháng kể từ ngày nhận được nghị quyết giải thể và cơ quan đăng ký kinh doanh cấp huyện chưa chuyển tình trạng pháp lý của hợp tác xã, liên hiệp hợp tác xã sang tình trạng đã giải thể, nếu không tiếp tục thực hiện giải thể, hợp tác xã, liên hiệp hợp tác xã gửi thông báo về việc hủy bỏ nghị quyết giải thể do người đại diện theo pháp luật ký đến cơ quan đăng ký kinh doanh cấp huyện nơi đặt trụ sở chính. Kèm theo thông báo phải có nghị quyết của Đại hội thành viên về việc hủy bỏ nghị quyết giải thể.</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(Mức lệ phí (nếu có) theo quyết định của Hội đồng nhân dân cấp tỉnh.)</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tổ hợp tác,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Thông báo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Nghị quyết của Đại hội thành viên về việc hủy bỏ nghị quyết giải thể.</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Ban Bảo vệ người tiêu dùng</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Cơ quan đăng ký kinh doanh cấp xã đăng tải thông báo và nghị quyết về việc hủy bỏ nghị quyết giải thể trên Cổng thông tin quốc gia về đăng ký doanh nghiệp, đồng thời khôi phục tình trạng pháp lý của hợp tác xã, liên hiệp hợp tác xã, chi nhánh, văn phòng đại diện, địa điểm kinh doanh trong Cơ sở dữ liệu về đăng ký hợp tác xã và gửi thông tin cho cơ quan thuế</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Trong thời hạn 06 tháng kể từ ngày nhận được nghị quyết giải thể và cơ quan đăng ký kinh doanh cấp xã chưa chuyển tình trạng pháp lý của hợp tác xã, liên hiệp hợp tác xã sang tình trạng đã giải thể. 
*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Dừng, thực hiện, thủ tục, giải thể, hợp tác xã,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2026-05-26T20:08:25Z</dcterms:created>
  <dc:creator>Apache POI</dc:creator>
</cp:coreProperties>
</file>