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false"/>
          <w:sz w:val="26"/>
        </w:rPr>
        <w:t>* Trường hợp đăng ký trực tiếp:
Khi tổ hợp tác tạm ngừng kinh doanh từ 15 ngày trở lên hoặc tiếp tục kinh doanh trở lại, tổ hợp tác phải gửi hồ sơ thông báo đến cơ quan đăng ký kinh doanh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
Sau khi tiếp nhận hồ sơ thông báo, cơ quan đăng ký kinh doanh cấp xã trao giấy biên nhận hồ sơ cho tổ hợp tác. Trong thời hạn 03 ngày làm việc kể từ ngày nhận được hồ sơ hợp lệ, cơ quan đăng ký kinh doanh cấp xã cấp giấy xác nhận về việc tổ hợp tác tạm ngừng kinh doanh, giấy xác nhận về việc tổ hợp tác tiếp tục kinh doanh trở lại.
*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Trường hợp đăng ký trực tiếp:
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2026-05-11T11:26:22Z</dcterms:created>
  <dc:creator>Apache POI</dc:creator>
</cp:coreProperties>
</file>