
<file path=[Content_Types].xml><?xml version="1.0" encoding="utf-8"?>
<Types xmlns="http://schemas.openxmlformats.org/package/2006/content-types">
  <Default ContentType="application/vnd.openxmlformats-package.relationships+xml" Extension="rels"/>
  <Default ContentType="application/xml" Extension="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settings+xml" PartName="/word/settings.xml"/>
</Types>
</file>

<file path=_rels/.rels><?xml version="1.0" encoding="UTF-8" standalone="no"?>
<Relationships xmlns="http://schemas.openxmlformats.org/package/2006/relationships">
<Relationship Id="rId1" Target="word/document.xml" Type="http://schemas.openxmlformats.org/officeDocument/2006/relationships/officeDocument"/>
<Relationship Id="rId2" Target="docProps/app.xml" Type="http://schemas.openxmlformats.org/officeDocument/2006/relationships/extended-properties"/>
<Relationship Id="rId3" Target="docProps/core.xml" Type="http://schemas.openxmlformats.org/package/2006/relationships/metadata/core-properties"/>
</Relationships>

</file>

<file path=word/document.xml><?xml version="1.0" encoding="utf-8"?>
<w:document xmlns:w="http://schemas.openxmlformats.org/wordprocessingml/2006/main">
  <w:body>
    <w:p>
      <w:pPr>
        <w:spacing w:after="300" w:before="0" w:lineRule="auto" w:line="276"/>
        <w:jc w:val="center"/>
      </w:pPr>
      <w:r>
        <w:rPr>
          <w:rFonts w:ascii="Times New Roman" w:hAnsi="Times New Roman" w:cs="Times New Roman" w:eastAsia="Times New Roman"/>
          <w:b w:val="true"/>
          <w:sz w:val="26"/>
        </w:rPr>
        <w:t>Chi tiết thủ tục hành chính</w:t>
      </w:r>
    </w:p>
    <w:p>
      <w:pPr>
        <w:spacing w:after="0" w:before="0" w:lineRule="auto" w:line="276"/>
        <w:jc w:val="both"/>
      </w:pPr>
      <w:r>
        <w:rPr>
          <w:rFonts w:ascii="Times New Roman" w:hAnsi="Times New Roman" w:cs="Times New Roman" w:eastAsia="Times New Roman"/>
          <w:b w:val="true"/>
          <w:sz w:val="26"/>
        </w:rPr>
        <w:t xml:space="preserve">Mã thủ tục: </w:t>
      </w:r>
      <w:r>
        <w:rPr>
          <w:rFonts w:ascii="Times New Roman" w:hAnsi="Times New Roman" w:cs="Times New Roman" w:eastAsia="Times New Roman"/>
          <w:b w:val="false"/>
          <w:sz w:val="26"/>
        </w:rPr>
        <w:t>1.012784</w:t>
      </w:r>
    </w:p>
    <w:p>
      <w:pPr>
        <w:spacing w:after="0" w:before="0" w:lineRule="auto" w:line="276"/>
        <w:jc w:val="both"/>
      </w:pPr>
      <w:r>
        <w:rPr>
          <w:rFonts w:ascii="Times New Roman" w:hAnsi="Times New Roman" w:cs="Times New Roman" w:eastAsia="Times New Roman"/>
          <w:b w:val="true"/>
          <w:sz w:val="26"/>
        </w:rPr>
        <w:t xml:space="preserve">Số quyết định: </w:t>
      </w:r>
      <w:r>
        <w:rPr>
          <w:rFonts w:ascii="Times New Roman" w:hAnsi="Times New Roman" w:cs="Times New Roman" w:eastAsia="Times New Roman"/>
          <w:b w:val="false"/>
          <w:sz w:val="26"/>
        </w:rPr>
        <w:t>2304/QĐ-BNNMT</w:t>
      </w:r>
    </w:p>
    <w:p>
      <w:pPr>
        <w:spacing w:after="0" w:before="0" w:lineRule="auto" w:line="276"/>
        <w:jc w:val="both"/>
      </w:pPr>
      <w:r>
        <w:rPr>
          <w:rFonts w:ascii="Times New Roman" w:hAnsi="Times New Roman" w:cs="Times New Roman" w:eastAsia="Times New Roman"/>
          <w:b w:val="true"/>
          <w:sz w:val="26"/>
        </w:rPr>
        <w:t xml:space="preserve">Tên thủ tục: </w:t>
      </w:r>
      <w:r>
        <w:rPr>
          <w:rFonts w:ascii="Times New Roman" w:hAnsi="Times New Roman" w:cs="Times New Roman" w:eastAsia="Times New Roman"/>
          <w:b w:val="false"/>
          <w:sz w:val="26"/>
        </w:rPr>
        <w:t>Tách thửa hoặc hợp thửa đất.</w:t>
      </w:r>
    </w:p>
    <w:p>
      <w:pPr>
        <w:spacing w:after="0" w:before="0" w:lineRule="auto" w:line="276"/>
        <w:jc w:val="both"/>
      </w:pPr>
      <w:r>
        <w:rPr>
          <w:rFonts w:ascii="Times New Roman" w:hAnsi="Times New Roman" w:cs="Times New Roman" w:eastAsia="Times New Roman"/>
          <w:b w:val="true"/>
          <w:sz w:val="26"/>
        </w:rPr>
        <w:t xml:space="preserve">Cấp thực hiện: </w:t>
      </w:r>
      <w:r>
        <w:rPr>
          <w:rFonts w:ascii="Times New Roman" w:hAnsi="Times New Roman" w:cs="Times New Roman" w:eastAsia="Times New Roman"/>
          <w:b w:val="false"/>
          <w:sz w:val="26"/>
        </w:rPr>
        <w:t>Cấp Tỉnh</w:t>
      </w:r>
    </w:p>
    <w:p>
      <w:pPr>
        <w:spacing w:after="0" w:before="0" w:lineRule="auto" w:line="276"/>
        <w:jc w:val="both"/>
      </w:pPr>
      <w:r>
        <w:rPr>
          <w:rFonts w:ascii="Times New Roman" w:hAnsi="Times New Roman" w:cs="Times New Roman" w:eastAsia="Times New Roman"/>
          <w:b w:val="true"/>
          <w:sz w:val="26"/>
        </w:rPr>
        <w:t xml:space="preserve">Loại thủ tục: </w:t>
      </w:r>
      <w:r>
        <w:rPr>
          <w:rFonts w:ascii="Times New Roman" w:hAnsi="Times New Roman" w:cs="Times New Roman" w:eastAsia="Times New Roman"/>
          <w:b w:val="false"/>
          <w:sz w:val="26"/>
        </w:rPr>
        <w:t>TTHC được luật giao quy định chi tiết</w:t>
      </w:r>
    </w:p>
    <w:p>
      <w:pPr>
        <w:spacing w:after="0" w:before="0" w:lineRule="auto" w:line="276"/>
        <w:jc w:val="both"/>
      </w:pPr>
      <w:r>
        <w:rPr>
          <w:rFonts w:ascii="Times New Roman" w:hAnsi="Times New Roman" w:cs="Times New Roman" w:eastAsia="Times New Roman"/>
          <w:b w:val="true"/>
          <w:sz w:val="26"/>
        </w:rPr>
        <w:t xml:space="preserve">Lĩnh vực: </w:t>
      </w:r>
      <w:r>
        <w:rPr>
          <w:rFonts w:ascii="Times New Roman" w:hAnsi="Times New Roman" w:cs="Times New Roman" w:eastAsia="Times New Roman"/>
          <w:b w:val="false"/>
          <w:sz w:val="26"/>
        </w:rPr>
        <w:t>Đất đai</w:t>
      </w:r>
    </w:p>
    <w:p>
      <w:pPr>
        <w:spacing w:after="0" w:before="0" w:lineRule="auto" w:line="276"/>
        <w:jc w:val="both"/>
      </w:pPr>
      <w:r>
        <w:rPr>
          <w:rFonts w:ascii="Times New Roman" w:hAnsi="Times New Roman" w:cs="Times New Roman" w:eastAsia="Times New Roman"/>
          <w:b w:val="true"/>
          <w:sz w:val="26"/>
        </w:rPr>
        <w:t xml:space="preserve">Trình tự thực hiện: </w:t>
      </w:r>
    </w:p>
    <w:p>
      <w:pPr>
        <w:shd w:val="clear" w:color="auto" w:fill="F2F6F9"/>
        <w:spacing w:after="0" w:before="120" w:lineRule="auto" w:line="276"/>
        <w:jc w:val="both"/>
      </w:pPr>
      <w:r>
        <w:rPr>
          <w:rFonts w:ascii="Times New Roman" w:hAnsi="Times New Roman" w:cs="Times New Roman" w:eastAsia="Times New Roman"/>
          <w:b w:val="true"/>
          <w:sz w:val="26"/>
        </w:rPr>
        <w:t/>
      </w:r>
    </w:p>
    <w:p>
      <w:pPr>
        <w:spacing w:after="0" w:before="0" w:lineRule="auto" w:line="276"/>
        <w:jc w:val="both"/>
      </w:pPr>
      <w:r>
        <w:rPr>
          <w:rFonts w:ascii="Times New Roman" w:hAnsi="Times New Roman" w:cs="Times New Roman" w:eastAsia="Times New Roman"/>
          <w:b w:val="false"/>
          <w:sz w:val="26"/>
        </w:rPr>
        <w:t>Bước 1: Người sử dụng đất nộp hồ sơ đến một trong các địa điểm trên địa bàn cấp tỉnh: Trung tâm Phục vụ hành chính công hoặc Văn phòng đăng ký đất đai hoặc Chi nhánh Văn phòng đăng ký đất đai.
Khi nộp hồ sơ, người yêu cầu đăng ký được lựa chọn nộp bản sao giấy tờ và xuất trình bản chính để cán bộ tiếp nhận hồ sơ kiểm tra đối chiếu hoặc nộp bản chính giấy tờ hoặc nộp bản sao giấy tờ đã có công chứng hoặc chứng thực; trường hợp nộp hồ sơ theo hình thức trực tuyến thì hồ sơ nộp phải được số hóa từ bản chính hoặc bản sao giấy tờ đã được công chứng, chứng thực.
Đối với trường hợp thực hiện xác nhận thay đổi trên Giấy chứng nhận đã cấp thì người yêu cầu đăng ký nộp bản gốc Giấy chứng nhận đã cấp.
Trường hợp nộp bản sao hoặc bản số hóa các loại giấy tờ thì khi nhận kết quả giải quyết thủ tục hành chính người yêu cầu đăng ký phải nộp bản chính các giấy tờ thuộc thành phần hồ sơ theo quy định, trừ các giấy tờ là giấy phép xây dựng, quyết định phê duyệt dự án đầu tư, quyết định đầu tư, giấy phép đầu tư, giấy chứng nhận đầu tư, quyết định phê duyệt hoặc quyết định phê duyệt điều chỉnh quy hoạch xây dựng chi tiết, bản đồ điều chỉnh quy hoạch xây dựng chi tiết.
Bước 2: Cơ quan tiếp nhận hồ sơ thực hiện: 
- Kiểm tra tính đầy đủ của thành phần hồ sơ và cấp Giấy tiếp nhận hồ sơ và hẹn trả kết quả.
		Trường hợp chưa đầy đủ thành phần hồ sơ thì trả hồ sơ kèm Phiếu yêu cầu bổ sung, hoàn thiện hồ sơ để người yêu cầu đăng ký hoàn thiện, bổ sung theo quy định.
- Trường hợp Trung tâm Phục vụ hành chính công tiếp nhận hồ sơ thì chuyển hồ sơ đến Văn phòng đăng ký đất đai, Chi nhánh Văn phòng đăng ký đất đai.
Bước 3: Văn phòng đăng ký đất đai, Chi nhánh Văn phòng đăng ký đất đai thực hiện:
- Kiểm tra hồ sơ, thông tin về người sử dụng đất, ranh giới, diện tích, loại đất của các thửa đất trên hồ sơ lưu trữ.
- Đối chiếu quy định tại Điều 220 của Luật Đất đai để xác định điều kiện tách thửa đất, hợp thửa đất:
a) Trường hợp hồ sơ không đủ điều kiện tách thửa đất, hợp thửa đất hoặc trường hợp hồ sơ đủ điều kiện tách thửa đất, hợp thửa đất nhưng Giấy chứng nhận đã cấp không có sơ đồ thửa đất hoặc có sơ đồ thửa đất nhưng thiếu kích thước các cạnh hoặc diện tích và kích thước các cạnh không thống nhất thì trong thời hạn 03 ngày làm việc kể từ ngày nhận đủ hồ sơ, Văn phòng đăng ký đất đai, Chi nhánh Văn phòng đăng ký đất trả hồ sơ cho người sử dụng đất và thông báo rõ lý do.
b) Trường hợp không thuộc quy định tại điểm a thì trong thời gian 05 ngày làm việc kể từ ngày nhận đủ hồ sơ, Văn phòng đăng ký đất đai, Chi nhánh Văn phòng đăng ký đất đai xác nhận đủ điều kiện tách thửa đất, hợp thửa đất kèm các thông tin thửa đất vào Đơn đề nghị tách thửa đất, hợp thửa đất, đồng thời xác nhận vào Bản vẽ tách thửa đất, hợp thửa đất để hoàn thiện thủ tục đăng ký, cấp Giấy chứng nhận quyền sử dụng đất, quyền sở hữu tài sản gắn liền với đất đối với các thửa đất sau tách thửa, hợp thửa, trừ trường hợp Bản vẽ tách thửa đất, hợp thửa đất do Văn phòng đăng ký đất đai, Chi nhánh Văn phòng đăng ký đất đai thực hiện.
b1) Trường hợp tách thửa đất, hợp thửa đất mà không thay đổi người sử dụng đất thì Văn phòng đăng ký đất đai, Chi nhánh Văn phòng đăng ký đất đai thực hiện việc chỉnh lý, cập nhật biến động vào hồ sơ địa chính, cơ sở dữ liệu đất đai; cấp Giấy chứng nhận quyền sử dụng đất, quyền sở hữu tài sản gắn liền với đất cho các thửa đất sau khi tách thửa đất, hợp thửa đất; trao Giấy chứng nhận quyền sử dụng đất, quyền sở hữu tài sản gắn liền với đất cho người được cấp.
b2) Trường hợp tách thửa đất, hợp thửa đất mà có thay đổi người sử dụng đất thì thực hiện thủ tục đăng ký biến động đất đai, tài sản gắn liền với đất theo quy định.</w:t>
      </w:r>
    </w:p>
    <w:p>
      <w:pPr>
        <w:spacing w:after="0" w:before="240" w:lineRule="auto" w:line="276"/>
        <w:jc w:val="both"/>
      </w:pPr>
      <w:r>
        <w:rPr>
          <w:rFonts w:ascii="Times New Roman" w:hAnsi="Times New Roman" w:cs="Times New Roman" w:eastAsia="Times New Roman"/>
          <w:b w:val="true"/>
          <w:sz w:val="26"/>
        </w:rPr>
        <w:t xml:space="preserve">Cách thức thực hiện: </w:t>
      </w:r>
    </w:p>
    <w:tbl>
      <w:tblPr>
        <w:tblW w:w="0" w:type="auto"/>
        <w:tblBorders>
          <w:top w:val="single"/>
          <w:left w:val="single"/>
          <w:bottom w:val="single"/>
          <w:right w:val="single"/>
          <w:insideH w:val="single"/>
          <w:insideV w:val="single"/>
        </w:tblBorders>
      </w:tblPr>
      <w:tr>
        <w:tc>
          <w:tcPr>
            <w:tcW w:w="1500"/>
          </w:tcPr>
          <w:p/>
          <w:p>
            <w:pPr>
              <w:spacing w:after="0" w:before="0" w:lineRule="auto" w:line="276"/>
              <w:jc w:val="center"/>
            </w:pPr>
            <w:r>
              <w:rPr>
                <w:rFonts w:ascii="Times New Roman" w:hAnsi="Times New Roman" w:cs="Times New Roman" w:eastAsia="Times New Roman"/>
                <w:b w:val="true"/>
                <w:sz w:val="26"/>
              </w:rPr>
              <w:t>Hình thức nộp</w:t>
            </w:r>
          </w:p>
        </w:tc>
        <w:tc>
          <w:tcPr>
            <w:tcW w:w="2000"/>
          </w:tcPr>
          <w:p/>
          <w:p>
            <w:pPr>
              <w:spacing w:after="0" w:before="0" w:lineRule="auto" w:line="276"/>
              <w:jc w:val="center"/>
            </w:pPr>
            <w:r>
              <w:rPr>
                <w:rFonts w:ascii="Times New Roman" w:hAnsi="Times New Roman" w:cs="Times New Roman" w:eastAsia="Times New Roman"/>
                <w:b w:val="true"/>
                <w:sz w:val="26"/>
              </w:rPr>
              <w:t>Thời hạn giải quyết</w:t>
            </w:r>
          </w:p>
        </w:tc>
        <w:tc>
          <w:tcPr>
            <w:tcW w:w="3500"/>
          </w:tcPr>
          <w:p/>
          <w:p>
            <w:pPr>
              <w:spacing w:after="0" w:before="0" w:lineRule="auto" w:line="276"/>
              <w:jc w:val="center"/>
            </w:pPr>
            <w:r>
              <w:rPr>
                <w:rFonts w:ascii="Times New Roman" w:hAnsi="Times New Roman" w:cs="Times New Roman" w:eastAsia="Times New Roman"/>
                <w:b w:val="true"/>
                <w:sz w:val="26"/>
              </w:rPr>
              <w:t>Phí, lệ phí</w:t>
            </w:r>
          </w:p>
        </w:tc>
        <w:tc>
          <w:tcPr>
            <w:tcW w:w="3000"/>
          </w:tcPr>
          <w:p/>
          <w:p>
            <w:pPr>
              <w:spacing w:after="0" w:before="0" w:lineRule="auto" w:line="276"/>
              <w:jc w:val="center"/>
            </w:pPr>
            <w:r>
              <w:rPr>
                <w:rFonts w:ascii="Times New Roman" w:hAnsi="Times New Roman" w:cs="Times New Roman" w:eastAsia="Times New Roman"/>
                <w:b w:val="true"/>
                <w:sz w:val="26"/>
              </w:rPr>
              <w:t>Mô tả</w:t>
            </w:r>
          </w:p>
        </w:tc>
      </w:tr>
      <w:tr>
        <w:tc>
          <w:p/>
          <w:p>
            <w:pPr>
              <w:spacing w:after="0" w:before="0" w:lineRule="auto" w:line="276"/>
              <w:jc w:val="left"/>
            </w:pPr>
            <w:r>
              <w:rPr>
                <w:rFonts w:ascii="Times New Roman" w:hAnsi="Times New Roman" w:cs="Times New Roman" w:eastAsia="Times New Roman"/>
                <w:b w:val="false"/>
                <w:sz w:val="26"/>
              </w:rPr>
              <w:t>Trực tiếp</w:t>
            </w:r>
          </w:p>
        </w:tc>
        <w:tc>
          <w:p/>
          <w:p>
            <w:pPr>
              <w:spacing w:after="0" w:before="0" w:lineRule="auto" w:line="276"/>
              <w:jc w:val="left"/>
            </w:pPr>
            <w:r>
              <w:rPr>
                <w:rFonts w:ascii="Times New Roman" w:hAnsi="Times New Roman" w:cs="Times New Roman" w:eastAsia="Times New Roman"/>
                <w:b w:val="false"/>
                <w:sz w:val="26"/>
              </w:rPr>
              <w:t>12 Ngày làm việc</w:t>
            </w:r>
          </w:p>
        </w:tc>
        <w:tc>
          <w:p/>
          <w:p>
            <w:pPr>
              <w:spacing w:after="0" w:before="0" w:lineRule="auto" w:line="276"/>
              <w:jc w:val="left"/>
            </w:pPr>
            <w:r>
              <w:rPr>
                <w:rFonts w:ascii="Times New Roman" w:hAnsi="Times New Roman" w:cs="Times New Roman" w:eastAsia="Times New Roman"/>
                <w:b w:val="false"/>
                <w:sz w:val="26"/>
              </w:rPr>
              <w:t>Phí :  Đồng</w:t>
              <w:t xml:space="preserve"> (Theo quy định của Luật phí và lệ phí và các văn bản quy phạm pháp luật hướng dẫn Luật phí và lệ phí)</w:t>
            </w:r>
          </w:p>
        </w:tc>
        <w:tc>
          <w:p/>
          <w:p>
            <w:pPr>
              <w:spacing w:after="0" w:before="0" w:lineRule="auto" w:line="276"/>
              <w:jc w:val="left"/>
            </w:pPr>
            <w:r>
              <w:rPr>
                <w:rFonts w:ascii="Times New Roman" w:hAnsi="Times New Roman" w:cs="Times New Roman" w:eastAsia="Times New Roman"/>
                <w:b w:val="false"/>
                <w:sz w:val="26"/>
              </w:rPr>
              <w:t>Nộp trực tiếp tại Trung tâm Phục vụ hành chính công hoặc Văn phòng đăng ký đất đai hoặc Chi nhánh Văn phòng đăng ký đất đai.
Nộp tại địa điểm theo thỏa thuận giữa người yêu cầu đăng ký và Văn phòng đăng ký đất đai, Chi nhánh Văn phòng đăng ký đất đai.
Thời hạn giải quyết không quá 12 ngày làm việc.</w:t>
            </w:r>
          </w:p>
        </w:tc>
      </w:tr>
      <w:tr>
        <w:tc>
          <w:p/>
          <w:p>
            <w:pPr>
              <w:spacing w:after="0" w:before="0" w:lineRule="auto" w:line="276"/>
              <w:jc w:val="left"/>
            </w:pPr>
            <w:r>
              <w:rPr>
                <w:rFonts w:ascii="Times New Roman" w:hAnsi="Times New Roman" w:cs="Times New Roman" w:eastAsia="Times New Roman"/>
                <w:b w:val="false"/>
                <w:sz w:val="26"/>
              </w:rPr>
              <w:t>Trực tiếp</w:t>
            </w:r>
          </w:p>
        </w:tc>
        <w:tc>
          <w:p/>
          <w:p>
            <w:pPr>
              <w:spacing w:after="0" w:before="0" w:lineRule="auto" w:line="276"/>
              <w:jc w:val="left"/>
            </w:pPr>
            <w:r>
              <w:rPr>
                <w:rFonts w:ascii="Times New Roman" w:hAnsi="Times New Roman" w:cs="Times New Roman" w:eastAsia="Times New Roman"/>
                <w:b w:val="false"/>
                <w:sz w:val="26"/>
              </w:rPr>
              <w:t>22 Ngày làm việc</w:t>
            </w:r>
          </w:p>
        </w:tc>
        <w:tc>
          <w:p/>
          <w:p>
            <w:pPr>
              <w:spacing w:after="0" w:before="0" w:lineRule="auto" w:line="276"/>
              <w:jc w:val="left"/>
            </w:pPr>
            <w:r>
              <w:rPr>
                <w:rFonts w:ascii="Times New Roman" w:hAnsi="Times New Roman" w:cs="Times New Roman" w:eastAsia="Times New Roman"/>
                <w:b w:val="false"/>
                <w:sz w:val="26"/>
              </w:rPr>
              <w:t>Phí :  Đồng</w:t>
              <w:t xml:space="preserve"> (Theo quy định của Luật phí và lệ phí và các văn bản quy phạm pháp luật hướng dẫn Luật phí và lệ phí)</w:t>
            </w:r>
          </w:p>
        </w:tc>
        <w:tc>
          <w:p/>
          <w:p>
            <w:pPr>
              <w:spacing w:after="0" w:before="0" w:lineRule="auto" w:line="276"/>
              <w:jc w:val="left"/>
            </w:pPr>
            <w:r>
              <w:rPr>
                <w:rFonts w:ascii="Times New Roman" w:hAnsi="Times New Roman" w:cs="Times New Roman" w:eastAsia="Times New Roman"/>
                <w:b w:val="false"/>
                <w:sz w:val="26"/>
              </w:rPr>
              <w:t>Thời hạn giải quyết không quá 22 ngày đối với các xã miền núi, hải đảo, vùng sâu, vùng xa, vùng có điều kiện kinh tế - xã hội khó khăn, vùng có điều kiện kinh tế - xã hội đặc biệt khó khăn</w:t>
            </w:r>
          </w:p>
        </w:tc>
      </w:tr>
      <w:tr>
        <w:tc>
          <w:p/>
          <w:p>
            <w:pPr>
              <w:spacing w:after="0" w:before="0" w:lineRule="auto" w:line="276"/>
              <w:jc w:val="left"/>
            </w:pPr>
            <w:r>
              <w:rPr>
                <w:rFonts w:ascii="Times New Roman" w:hAnsi="Times New Roman" w:cs="Times New Roman" w:eastAsia="Times New Roman"/>
                <w:b w:val="false"/>
                <w:sz w:val="26"/>
              </w:rPr>
              <w:t>Trực tuyến</w:t>
            </w:r>
          </w:p>
        </w:tc>
        <w:tc>
          <w:p/>
          <w:p>
            <w:pPr>
              <w:spacing w:after="0" w:before="0" w:lineRule="auto" w:line="276"/>
              <w:jc w:val="left"/>
            </w:pPr>
            <w:r>
              <w:rPr>
                <w:rFonts w:ascii="Times New Roman" w:hAnsi="Times New Roman" w:cs="Times New Roman" w:eastAsia="Times New Roman"/>
                <w:b w:val="false"/>
                <w:sz w:val="26"/>
              </w:rPr>
              <w:t>12 Ngày làm việc</w:t>
            </w:r>
          </w:p>
        </w:tc>
        <w:tc>
          <w:p/>
          <w:p>
            <w:pPr>
              <w:spacing w:after="0" w:before="0" w:lineRule="auto" w:line="276"/>
              <w:jc w:val="left"/>
            </w:pPr>
            <w:r>
              <w:rPr>
                <w:rFonts w:ascii="Times New Roman" w:hAnsi="Times New Roman" w:cs="Times New Roman" w:eastAsia="Times New Roman"/>
                <w:b w:val="false"/>
                <w:sz w:val="26"/>
              </w:rPr>
              <w:t>Phí :  Đồng</w:t>
              <w:t xml:space="preserve"> (Theo quy định của Luật phí và lệ phí và các văn bản quy phạm pháp luật hướng dẫn Luật phí và lệ phí)</w:t>
            </w:r>
          </w:p>
        </w:tc>
        <w:tc>
          <w:p/>
          <w:p>
            <w:pPr>
              <w:spacing w:after="0" w:before="0" w:lineRule="auto" w:line="276"/>
              <w:jc w:val="left"/>
            </w:pPr>
            <w:r>
              <w:rPr>
                <w:rFonts w:ascii="Times New Roman" w:hAnsi="Times New Roman" w:cs="Times New Roman" w:eastAsia="Times New Roman"/>
                <w:b w:val="false"/>
                <w:sz w:val="26"/>
              </w:rPr>
              <w:t>Nộp trực tuyến trên Cổng dịch vụ công.
Thời hạn giải quyết không quá 12 ngày làm việc.</w:t>
            </w:r>
          </w:p>
        </w:tc>
      </w:tr>
      <w:tr>
        <w:tc>
          <w:p/>
          <w:p>
            <w:pPr>
              <w:spacing w:after="0" w:before="0" w:lineRule="auto" w:line="276"/>
              <w:jc w:val="left"/>
            </w:pPr>
            <w:r>
              <w:rPr>
                <w:rFonts w:ascii="Times New Roman" w:hAnsi="Times New Roman" w:cs="Times New Roman" w:eastAsia="Times New Roman"/>
                <w:b w:val="false"/>
                <w:sz w:val="26"/>
              </w:rPr>
              <w:t>Trực tuyến</w:t>
            </w:r>
          </w:p>
        </w:tc>
        <w:tc>
          <w:p/>
          <w:p>
            <w:pPr>
              <w:spacing w:after="0" w:before="0" w:lineRule="auto" w:line="276"/>
              <w:jc w:val="left"/>
            </w:pPr>
            <w:r>
              <w:rPr>
                <w:rFonts w:ascii="Times New Roman" w:hAnsi="Times New Roman" w:cs="Times New Roman" w:eastAsia="Times New Roman"/>
                <w:b w:val="false"/>
                <w:sz w:val="26"/>
              </w:rPr>
              <w:t>22 Ngày làm việc</w:t>
            </w:r>
          </w:p>
        </w:tc>
        <w:tc>
          <w:p/>
          <w:p>
            <w:pPr>
              <w:spacing w:after="0" w:before="0" w:lineRule="auto" w:line="276"/>
              <w:jc w:val="left"/>
            </w:pPr>
            <w:r>
              <w:rPr>
                <w:rFonts w:ascii="Times New Roman" w:hAnsi="Times New Roman" w:cs="Times New Roman" w:eastAsia="Times New Roman"/>
                <w:b w:val="false"/>
                <w:sz w:val="26"/>
              </w:rPr>
              <w:t>Phí :  Đồng</w:t>
              <w:t xml:space="preserve"> (Theo quy định của Luật phí và lệ phí và các văn bản quy phạm pháp luật hướng dẫn Luật phí và lệ phí)</w:t>
            </w:r>
          </w:p>
        </w:tc>
        <w:tc>
          <w:p/>
          <w:p>
            <w:pPr>
              <w:spacing w:after="0" w:before="0" w:lineRule="auto" w:line="276"/>
              <w:jc w:val="left"/>
            </w:pPr>
            <w:r>
              <w:rPr>
                <w:rFonts w:ascii="Times New Roman" w:hAnsi="Times New Roman" w:cs="Times New Roman" w:eastAsia="Times New Roman"/>
                <w:b w:val="false"/>
                <w:sz w:val="26"/>
              </w:rPr>
              <w:t>Thời hạn giải quyết không quá 22 ngày đối với các xã miền núi, hải đảo, vùng sâu, vùng xa, vùng có điều kiện kinh tế - xã hội khó khăn, vùng có điều kiện kinh tế - xã hội đặc biệt khó khăn</w:t>
            </w:r>
          </w:p>
        </w:tc>
      </w:tr>
      <w:tr>
        <w:tc>
          <w:p/>
          <w:p>
            <w:pPr>
              <w:spacing w:after="0" w:before="0" w:lineRule="auto" w:line="276"/>
              <w:jc w:val="left"/>
            </w:pPr>
            <w:r>
              <w:rPr>
                <w:rFonts w:ascii="Times New Roman" w:hAnsi="Times New Roman" w:cs="Times New Roman" w:eastAsia="Times New Roman"/>
                <w:b w:val="false"/>
                <w:sz w:val="26"/>
              </w:rPr>
              <w:t>Dịch vụ bưu chính</w:t>
            </w:r>
          </w:p>
        </w:tc>
        <w:tc>
          <w:p/>
          <w:p>
            <w:pPr>
              <w:spacing w:after="0" w:before="0" w:lineRule="auto" w:line="276"/>
              <w:jc w:val="left"/>
            </w:pPr>
            <w:r>
              <w:rPr>
                <w:rFonts w:ascii="Times New Roman" w:hAnsi="Times New Roman" w:cs="Times New Roman" w:eastAsia="Times New Roman"/>
                <w:b w:val="false"/>
                <w:sz w:val="26"/>
              </w:rPr>
              <w:t>12 Ngày làm việc</w:t>
            </w:r>
          </w:p>
        </w:tc>
        <w:tc>
          <w:p/>
          <w:p>
            <w:pPr>
              <w:spacing w:after="0" w:before="0" w:lineRule="auto" w:line="276"/>
              <w:jc w:val="left"/>
            </w:pPr>
            <w:r>
              <w:rPr>
                <w:rFonts w:ascii="Times New Roman" w:hAnsi="Times New Roman" w:cs="Times New Roman" w:eastAsia="Times New Roman"/>
                <w:b w:val="false"/>
                <w:sz w:val="26"/>
              </w:rPr>
              <w:t>Phí :  Đồng</w:t>
              <w:t xml:space="preserve"> (Theo quy định của Luật phí và lệ phí và các văn bản quy phạm pháp luật hướng dẫn Luật phí và lệ phí)</w:t>
            </w:r>
          </w:p>
        </w:tc>
        <w:tc>
          <w:p/>
          <w:p>
            <w:pPr>
              <w:spacing w:after="0" w:before="0" w:lineRule="auto" w:line="276"/>
              <w:jc w:val="left"/>
            </w:pPr>
            <w:r>
              <w:rPr>
                <w:rFonts w:ascii="Times New Roman" w:hAnsi="Times New Roman" w:cs="Times New Roman" w:eastAsia="Times New Roman"/>
                <w:b w:val="false"/>
                <w:sz w:val="26"/>
              </w:rPr>
              <w:t>Nộp thông qua dịch vụ bưu chính.
Thời hạn giải quyết không quá 12 ngày làm việc.</w:t>
            </w:r>
          </w:p>
        </w:tc>
      </w:tr>
      <w:tr>
        <w:tc>
          <w:p/>
          <w:p>
            <w:pPr>
              <w:spacing w:after="0" w:before="0" w:lineRule="auto" w:line="276"/>
              <w:jc w:val="left"/>
            </w:pPr>
            <w:r>
              <w:rPr>
                <w:rFonts w:ascii="Times New Roman" w:hAnsi="Times New Roman" w:cs="Times New Roman" w:eastAsia="Times New Roman"/>
                <w:b w:val="false"/>
                <w:sz w:val="26"/>
              </w:rPr>
              <w:t>Dịch vụ bưu chính</w:t>
            </w:r>
          </w:p>
        </w:tc>
        <w:tc>
          <w:p/>
          <w:p>
            <w:pPr>
              <w:spacing w:after="0" w:before="0" w:lineRule="auto" w:line="276"/>
              <w:jc w:val="left"/>
            </w:pPr>
            <w:r>
              <w:rPr>
                <w:rFonts w:ascii="Times New Roman" w:hAnsi="Times New Roman" w:cs="Times New Roman" w:eastAsia="Times New Roman"/>
                <w:b w:val="false"/>
                <w:sz w:val="26"/>
              </w:rPr>
              <w:t>22 Ngày làm việc</w:t>
            </w:r>
          </w:p>
        </w:tc>
        <w:tc>
          <w:p/>
          <w:p>
            <w:pPr>
              <w:spacing w:after="0" w:before="0" w:lineRule="auto" w:line="276"/>
              <w:jc w:val="left"/>
            </w:pPr>
            <w:r>
              <w:rPr>
                <w:rFonts w:ascii="Times New Roman" w:hAnsi="Times New Roman" w:cs="Times New Roman" w:eastAsia="Times New Roman"/>
                <w:b w:val="false"/>
                <w:sz w:val="26"/>
              </w:rPr>
              <w:t>Phí :  Đồng</w:t>
              <w:t xml:space="preserve"> (Theo quy định của Luật phí và lệ phí và các văn bản quy phạm pháp luật hướng dẫn Luật phí và lệ phí)</w:t>
            </w:r>
          </w:p>
        </w:tc>
        <w:tc>
          <w:p/>
          <w:p>
            <w:pPr>
              <w:spacing w:after="0" w:before="0" w:lineRule="auto" w:line="276"/>
              <w:jc w:val="left"/>
            </w:pPr>
            <w:r>
              <w:rPr>
                <w:rFonts w:ascii="Times New Roman" w:hAnsi="Times New Roman" w:cs="Times New Roman" w:eastAsia="Times New Roman"/>
                <w:b w:val="false"/>
                <w:sz w:val="26"/>
              </w:rPr>
              <w:t>Thời hạn giải quyết không quá 22 ngày đối với các xã miền núi, hải đảo, vùng sâu, vùng xa, vùng có điều kiện kinh tế - xã hội khó khăn, vùng có điều kiện kinh tế - xã hội đặc biệt khó khăn</w:t>
            </w:r>
          </w:p>
        </w:tc>
      </w:tr>
    </w:tbl>
    <w:p>
      <w:pPr>
        <w:spacing w:after="0" w:before="240" w:lineRule="auto" w:line="276"/>
        <w:jc w:val="both"/>
      </w:pPr>
      <w:r>
        <w:rPr>
          <w:rFonts w:ascii="Times New Roman" w:hAnsi="Times New Roman" w:cs="Times New Roman" w:eastAsia="Times New Roman"/>
          <w:b w:val="true"/>
          <w:sz w:val="26"/>
        </w:rPr>
        <w:t xml:space="preserve">Thành phần hồ sơ: </w:t>
      </w:r>
    </w:p>
    <w:p>
      <w:pPr>
        <w:shd w:val="clear" w:color="auto" w:fill="F2F6F9"/>
        <w:spacing w:after="0" w:before="120" w:lineRule="auto" w:line="276"/>
        <w:jc w:val="both"/>
      </w:pPr>
      <w:r>
        <w:rPr>
          <w:rFonts w:ascii="Times New Roman" w:hAnsi="Times New Roman" w:cs="Times New Roman" w:eastAsia="Times New Roman"/>
          <w:b w:val="true"/>
          <w:sz w:val="26"/>
        </w:rPr>
        <w:t>Bao gồm</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(3) Giấy chứng nhận đã cấp hoặc bản sao Giấy chứng nhận đã cấp kèm bản gốc để đối chiếu hoặc nộp bản sao có công chứng, chứng thực;</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(4) Các văn bản của cơ quan có thẩm quyền có thể hiện nội dung tách thửa đất, hợp thửa đất (nếu có).</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(1) Đơn đề nghị tách thửa đất, hợp thửa đất theo Mẫu số 21 ban hành kèm theo Nghị định số 151/2025/NĐ-CP.</w:t>
            </w:r>
          </w:p>
        </w:tc>
        <w:tc>
          <w:p/>
          <w:p>
            <w:pPr>
              <w:spacing w:after="0" w:before="0" w:lineRule="auto" w:line="276"/>
              <w:jc w:val="left"/>
            </w:pPr>
            <w:r>
              <w:rPr>
                <w:rFonts w:ascii="Times New Roman" w:hAnsi="Times New Roman" w:cs="Times New Roman" w:eastAsia="Times New Roman"/>
                <w:b w:val="false"/>
                <w:sz w:val="26"/>
              </w:rPr>
              <w:t>Mus21.docx</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(5) Bản vẽ tách thửa đất, hợp thửa đất lập theo Mẫu số 22 ban hành kèm theo Nghị định số 151/2025/NĐ-CP.</w:t>
            </w:r>
          </w:p>
        </w:tc>
        <w:tc>
          <w:p/>
          <w:p>
            <w:pPr>
              <w:spacing w:after="0" w:before="0" w:lineRule="auto" w:line="276"/>
              <w:jc w:val="left"/>
            </w:pPr>
            <w:r>
              <w:rPr>
                <w:rFonts w:ascii="Times New Roman" w:hAnsi="Times New Roman" w:cs="Times New Roman" w:eastAsia="Times New Roman"/>
                <w:b w:val="false"/>
                <w:sz w:val="26"/>
              </w:rPr>
              <w:t>Mus22.docx</w:t>
            </w:r>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1</w:t>
            </w:r>
          </w:p>
        </w:tc>
      </w:tr>
    </w:tbl>
    <w:p>
      <w:pPr>
        <w:spacing w:after="0" w:before="240" w:lineRule="auto" w:line="276"/>
        <w:jc w:val="both"/>
      </w:pPr>
      <w:r>
        <w:rPr>
          <w:rFonts w:ascii="Times New Roman" w:hAnsi="Times New Roman" w:cs="Times New Roman" w:eastAsia="Times New Roman"/>
          <w:b w:val="true"/>
          <w:sz w:val="26"/>
        </w:rPr>
        <w:t xml:space="preserve">Đối tượng thực hiện: </w:t>
      </w:r>
      <w:r>
        <w:rPr>
          <w:rFonts w:ascii="Times New Roman" w:hAnsi="Times New Roman" w:cs="Times New Roman" w:eastAsia="Times New Roman"/>
          <w:b w:val="false"/>
          <w:sz w:val="26"/>
        </w:rPr>
        <w:t>Công dân Việt Nam, Người Việt Nam định cư ở nước ngoài, Doanh nghiệp, Doanh nghiệp có vốn đầu tư nước ngoài, Tổ chức (không bao gồm doanh nghiệp, HTX), Hợp tác xã</w:t>
      </w:r>
    </w:p>
    <w:p>
      <w:pPr>
        <w:spacing w:after="0" w:before="0" w:lineRule="auto" w:line="276"/>
        <w:jc w:val="both"/>
      </w:pPr>
      <w:r>
        <w:rPr>
          <w:rFonts w:ascii="Times New Roman" w:hAnsi="Times New Roman" w:cs="Times New Roman" w:eastAsia="Times New Roman"/>
          <w:b w:val="true"/>
          <w:sz w:val="26"/>
        </w:rPr>
        <w:t xml:space="preserve">Cơ quan thực hiện: </w:t>
      </w:r>
      <w:r>
        <w:rPr>
          <w:rFonts w:ascii="Times New Roman" w:hAnsi="Times New Roman" w:cs="Times New Roman" w:eastAsia="Times New Roman"/>
          <w:b w:val="false"/>
          <w:sz w:val="26"/>
        </w:rPr>
        <w:t>Văn phòng đăng ký đất đai, Chi nhánh Văn phòng đăng ký đất đai</w:t>
      </w:r>
    </w:p>
    <w:p>
      <w:pPr>
        <w:spacing w:after="0" w:before="0" w:lineRule="auto" w:line="276"/>
        <w:jc w:val="both"/>
      </w:pPr>
      <w:r>
        <w:rPr>
          <w:rFonts w:ascii="Times New Roman" w:hAnsi="Times New Roman" w:cs="Times New Roman" w:eastAsia="Times New Roman"/>
          <w:b w:val="true"/>
          <w:sz w:val="26"/>
        </w:rPr>
        <w:t xml:space="preserve">Cơ quan có thẩm quyền: </w:t>
      </w:r>
      <w:r>
        <w:rPr>
          <w:rFonts w:ascii="Times New Roman" w:hAnsi="Times New Roman" w:cs="Times New Roman" w:eastAsia="Times New Roman"/>
          <w:b w:val="false"/>
          <w:sz w:val="26"/>
        </w:rPr>
        <w:t>Văn phòng đăng ký đất đai, Chi nhánh Văn phòng đăng ký đất đai</w:t>
      </w:r>
    </w:p>
    <w:p>
      <w:pPr>
        <w:spacing w:after="0" w:before="0" w:lineRule="auto" w:line="276"/>
        <w:jc w:val="both"/>
      </w:pPr>
      <w:r>
        <w:rPr>
          <w:rFonts w:ascii="Times New Roman" w:hAnsi="Times New Roman" w:cs="Times New Roman" w:eastAsia="Times New Roman"/>
          <w:b w:val="true"/>
          <w:sz w:val="26"/>
        </w:rPr>
        <w:t xml:space="preserve">Địa chỉ tiếp nhận HS: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được ủy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phối hợp: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Kết quả thực hiện: </w:t>
      </w:r>
      <w:r>
        <w:rPr>
          <w:rFonts w:ascii="Times New Roman" w:hAnsi="Times New Roman" w:cs="Times New Roman" w:eastAsia="Times New Roman"/>
          <w:b w:val="false"/>
          <w:sz w:val="26"/>
        </w:rPr>
        <w:t>Giấy chứng nhận quyền sử dụng đất; Giấy chứng nhận quyền sở hữu nhà ở và quyền sử dụng đất ở; Giấy chứng nhận quyền sở hữu nhà ở; Giấy chứng nhận quyền sở hữu công trình xây dựng; Giấy chứng nhận quyền sử dụng đất, quyền sở hữu nhà ở và tài sản khác gắn liền với đất; Giấy chứng nhận quyền sử dụng đất, quyền sở hữu tài sản gắn liền với đất</w:t>
      </w:r>
    </w:p>
    <w:p>
      <w:pPr>
        <w:spacing w:after="0" w:before="0" w:lineRule="auto" w:line="276"/>
        <w:jc w:val="both"/>
      </w:pPr>
      <w:r>
        <w:rPr>
          <w:rFonts w:ascii="Times New Roman" w:hAnsi="Times New Roman" w:cs="Times New Roman" w:eastAsia="Times New Roman"/>
          <w:b w:val="true"/>
          <w:sz w:val="26"/>
        </w:rPr>
        <w:t xml:space="preserve">Căn cứ pháp lý: </w:t>
      </w:r>
    </w:p>
    <w:tbl>
      <w:tblPr>
        <w:tblW w:w="0" w:type="auto"/>
        <w:tblBorders>
          <w:top w:val="single"/>
          <w:left w:val="single"/>
          <w:bottom w:val="single"/>
          <w:right w:val="single"/>
          <w:insideH w:val="single"/>
          <w:insideV w:val="single"/>
        </w:tblBorders>
      </w:tblPr>
      <w:tr>
        <w:tc>
          <w:tcPr>
            <w:tcW w:w="2000"/>
          </w:tcPr>
          <w:p/>
          <w:p>
            <w:pPr>
              <w:spacing w:after="0" w:before="0" w:lineRule="auto" w:line="276"/>
              <w:jc w:val="center"/>
            </w:pPr>
            <w:r>
              <w:rPr>
                <w:rFonts w:ascii="Times New Roman" w:hAnsi="Times New Roman" w:cs="Times New Roman" w:eastAsia="Times New Roman"/>
                <w:b w:val="true"/>
                <w:sz w:val="26"/>
              </w:rPr>
              <w:t>Số ký hiệu</w:t>
            </w:r>
          </w:p>
        </w:tc>
        <w:tc>
          <w:tcPr>
            <w:tcW w:w="3500"/>
          </w:tcPr>
          <w:p/>
          <w:p>
            <w:pPr>
              <w:spacing w:after="0" w:before="0" w:lineRule="auto" w:line="276"/>
              <w:jc w:val="center"/>
            </w:pPr>
            <w:r>
              <w:rPr>
                <w:rFonts w:ascii="Times New Roman" w:hAnsi="Times New Roman" w:cs="Times New Roman" w:eastAsia="Times New Roman"/>
                <w:b w:val="true"/>
                <w:sz w:val="26"/>
              </w:rPr>
              <w:t>Trích yếu</w:t>
            </w:r>
          </w:p>
        </w:tc>
        <w:tc>
          <w:tcPr>
            <w:tcW w:w="1500"/>
          </w:tcPr>
          <w:p/>
          <w:p>
            <w:pPr>
              <w:spacing w:after="0" w:before="0" w:lineRule="auto" w:line="276"/>
              <w:jc w:val="center"/>
            </w:pPr>
            <w:r>
              <w:rPr>
                <w:rFonts w:ascii="Times New Roman" w:hAnsi="Times New Roman" w:cs="Times New Roman" w:eastAsia="Times New Roman"/>
                <w:b w:val="true"/>
                <w:sz w:val="26"/>
              </w:rPr>
              <w:t>Ngày ban hành</w:t>
            </w:r>
          </w:p>
        </w:tc>
        <w:tc>
          <w:tcPr>
            <w:tcW w:w="3000"/>
          </w:tcPr>
          <w:p/>
          <w:p>
            <w:pPr>
              <w:spacing w:after="0" w:before="0" w:lineRule="auto" w:line="276"/>
              <w:jc w:val="center"/>
            </w:pPr>
            <w:r>
              <w:rPr>
                <w:rFonts w:ascii="Times New Roman" w:hAnsi="Times New Roman" w:cs="Times New Roman" w:eastAsia="Times New Roman"/>
                <w:b w:val="true"/>
                <w:sz w:val="26"/>
              </w:rPr>
              <w:t>Cơ quan ban hành</w:t>
            </w:r>
          </w:p>
        </w:tc>
      </w:tr>
      <w:tr>
        <w:tc>
          <w:p/>
          <w:p>
            <w:pPr>
              <w:spacing w:after="0" w:before="0" w:lineRule="auto" w:line="276"/>
              <w:jc w:val="left"/>
            </w:pPr>
            <w:r>
              <w:rPr>
                <w:rFonts w:ascii="Times New Roman" w:hAnsi="Times New Roman" w:cs="Times New Roman" w:eastAsia="Times New Roman"/>
                <w:b w:val="false"/>
                <w:sz w:val="26"/>
              </w:rPr>
              <w:t>Nghị định 101/2024/NĐ-CP</w:t>
            </w:r>
          </w:p>
        </w:tc>
        <w:tc>
          <w:p/>
          <w:p>
            <w:pPr>
              <w:spacing w:after="0" w:before="0" w:lineRule="auto" w:line="276"/>
              <w:jc w:val="left"/>
            </w:pPr>
            <w:r>
              <w:rPr>
                <w:rFonts w:ascii="Times New Roman" w:hAnsi="Times New Roman" w:cs="Times New Roman" w:eastAsia="Times New Roman"/>
                <w:b w:val="false"/>
                <w:sz w:val="26"/>
              </w:rPr>
              <w:t>Nghị định 101/2024/NĐ-CP</w:t>
            </w:r>
          </w:p>
        </w:tc>
        <w:tc>
          <w:p/>
          <w:p>
            <w:pPr>
              <w:spacing w:after="0" w:before="0" w:lineRule="auto" w:line="276"/>
              <w:jc w:val="left"/>
            </w:pPr>
            <w:r>
              <w:rPr>
                <w:rFonts w:ascii="Times New Roman" w:hAnsi="Times New Roman" w:cs="Times New Roman" w:eastAsia="Times New Roman"/>
                <w:b w:val="false"/>
                <w:sz w:val="26"/>
              </w:rPr>
              <w:t>29-07-2024</w:t>
            </w:r>
          </w:p>
        </w:tc>
        <w:tc>
          <w:p/>
        </w:tc>
      </w:tr>
      <w:tr>
        <w:tc>
          <w:p/>
          <w:p>
            <w:pPr>
              <w:spacing w:after="0" w:before="0" w:lineRule="auto" w:line="276"/>
              <w:jc w:val="left"/>
            </w:pPr>
            <w:r>
              <w:rPr>
                <w:rFonts w:ascii="Times New Roman" w:hAnsi="Times New Roman" w:cs="Times New Roman" w:eastAsia="Times New Roman"/>
                <w:b w:val="false"/>
                <w:sz w:val="26"/>
              </w:rPr>
              <w:t>43/2024/QH15</w:t>
            </w:r>
          </w:p>
        </w:tc>
        <w:tc>
          <w:p/>
          <w:p>
            <w:pPr>
              <w:spacing w:after="0" w:before="0" w:lineRule="auto" w:line="276"/>
              <w:jc w:val="left"/>
            </w:pPr>
            <w:r>
              <w:rPr>
                <w:rFonts w:ascii="Times New Roman" w:hAnsi="Times New Roman" w:cs="Times New Roman" w:eastAsia="Times New Roman"/>
                <w:b w:val="false"/>
                <w:sz w:val="26"/>
              </w:rPr>
              <w:t>Luật số 43/2024/QH15 ngày 29/6/2024</w:t>
            </w:r>
          </w:p>
        </w:tc>
        <w:tc>
          <w:p/>
          <w:p>
            <w:pPr>
              <w:spacing w:after="0" w:before="0" w:lineRule="auto" w:line="276"/>
              <w:jc w:val="left"/>
            </w:pPr>
            <w:r>
              <w:rPr>
                <w:rFonts w:ascii="Times New Roman" w:hAnsi="Times New Roman" w:cs="Times New Roman" w:eastAsia="Times New Roman"/>
                <w:b w:val="false"/>
                <w:sz w:val="26"/>
              </w:rPr>
              <w:t>29-06-2024</w:t>
            </w:r>
          </w:p>
        </w:tc>
        <w:tc>
          <w:p/>
          <w:p>
            <w:pPr>
              <w:spacing w:after="0" w:before="0" w:lineRule="auto" w:line="276"/>
              <w:jc w:val="left"/>
            </w:pPr>
            <w:r>
              <w:rPr>
                <w:rFonts w:ascii="Times New Roman" w:hAnsi="Times New Roman" w:cs="Times New Roman" w:eastAsia="Times New Roman"/>
                <w:b w:val="false"/>
                <w:sz w:val="26"/>
              </w:rPr>
              <w:t>Quốc Hội</w:t>
            </w:r>
          </w:p>
        </w:tc>
      </w:tr>
      <w:tr>
        <w:tc>
          <w:p/>
          <w:p>
            <w:pPr>
              <w:spacing w:after="0" w:before="0" w:lineRule="auto" w:line="276"/>
              <w:jc w:val="left"/>
            </w:pPr>
            <w:r>
              <w:rPr>
                <w:rFonts w:ascii="Times New Roman" w:hAnsi="Times New Roman" w:cs="Times New Roman" w:eastAsia="Times New Roman"/>
                <w:b w:val="false"/>
                <w:sz w:val="26"/>
              </w:rPr>
              <w:t>31/2024/QH15</w:t>
            </w:r>
          </w:p>
        </w:tc>
        <w:tc>
          <w:p/>
          <w:p>
            <w:pPr>
              <w:spacing w:after="0" w:before="0" w:lineRule="auto" w:line="276"/>
              <w:jc w:val="left"/>
            </w:pPr>
            <w:r>
              <w:rPr>
                <w:rFonts w:ascii="Times New Roman" w:hAnsi="Times New Roman" w:cs="Times New Roman" w:eastAsia="Times New Roman"/>
                <w:b w:val="false"/>
                <w:sz w:val="26"/>
              </w:rPr>
              <w:t>Luật Đất đai 2024</w:t>
            </w:r>
          </w:p>
        </w:tc>
        <w:tc>
          <w:p/>
          <w:p>
            <w:pPr>
              <w:spacing w:after="0" w:before="0" w:lineRule="auto" w:line="276"/>
              <w:jc w:val="left"/>
            </w:pPr>
            <w:r>
              <w:rPr>
                <w:rFonts w:ascii="Times New Roman" w:hAnsi="Times New Roman" w:cs="Times New Roman" w:eastAsia="Times New Roman"/>
                <w:b w:val="false"/>
                <w:sz w:val="26"/>
              </w:rPr>
              <w:t>01-02-2024</w:t>
            </w:r>
          </w:p>
        </w:tc>
        <w:tc>
          <w:p/>
          <w:p>
            <w:pPr>
              <w:spacing w:after="0" w:before="0" w:lineRule="auto" w:line="276"/>
              <w:jc w:val="left"/>
            </w:pPr>
            <w:r>
              <w:rPr>
                <w:rFonts w:ascii="Times New Roman" w:hAnsi="Times New Roman" w:cs="Times New Roman" w:eastAsia="Times New Roman"/>
                <w:b w:val="false"/>
                <w:sz w:val="26"/>
              </w:rPr>
              <w:t>Quốc Hội</w:t>
            </w:r>
          </w:p>
        </w:tc>
      </w:tr>
      <w:tr>
        <w:tc>
          <w:p/>
          <w:p>
            <w:pPr>
              <w:spacing w:after="0" w:before="0" w:lineRule="auto" w:line="276"/>
              <w:jc w:val="left"/>
            </w:pPr>
            <w:r>
              <w:rPr>
                <w:rFonts w:ascii="Times New Roman" w:hAnsi="Times New Roman" w:cs="Times New Roman" w:eastAsia="Times New Roman"/>
                <w:b w:val="false"/>
                <w:sz w:val="26"/>
              </w:rPr>
              <w:t>151/2025/NĐ-CP</w:t>
            </w:r>
          </w:p>
        </w:tc>
        <w:tc>
          <w:p/>
          <w:p>
            <w:pPr>
              <w:spacing w:after="0" w:before="0" w:lineRule="auto" w:line="276"/>
              <w:jc w:val="left"/>
            </w:pPr>
            <w:r>
              <w:rPr>
                <w:rFonts w:ascii="Times New Roman" w:hAnsi="Times New Roman" w:cs="Times New Roman" w:eastAsia="Times New Roman"/>
                <w:b w:val="false"/>
                <w:sz w:val="26"/>
              </w:rPr>
              <w:t>Quy định về phân định thẩm quyền của chính quyền địa phương 02 cấp, phân quyền, phân cấp trong lĩnh vực đất đai</w:t>
            </w:r>
          </w:p>
        </w:tc>
        <w:tc>
          <w:p/>
          <w:p>
            <w:pPr>
              <w:spacing w:after="0" w:before="0" w:lineRule="auto" w:line="276"/>
              <w:jc w:val="left"/>
            </w:pPr>
            <w:r>
              <w:rPr>
                <w:rFonts w:ascii="Times New Roman" w:hAnsi="Times New Roman" w:cs="Times New Roman" w:eastAsia="Times New Roman"/>
                <w:b w:val="false"/>
                <w:sz w:val="26"/>
              </w:rPr>
              <w:t>12-06-2025</w:t>
            </w:r>
          </w:p>
        </w:tc>
        <w:tc>
          <w:p/>
          <w:p>
            <w:pPr>
              <w:spacing w:after="0" w:before="0" w:lineRule="auto" w:line="276"/>
              <w:jc w:val="left"/>
            </w:pPr>
            <w:r>
              <w:rPr>
                <w:rFonts w:ascii="Times New Roman" w:hAnsi="Times New Roman" w:cs="Times New Roman" w:eastAsia="Times New Roman"/>
                <w:b w:val="false"/>
                <w:sz w:val="26"/>
              </w:rPr>
              <w:t>Chính phủ</w:t>
            </w:r>
          </w:p>
        </w:tc>
      </w:tr>
      <w:tr>
        <w:tc>
          <w:p/>
          <w:p>
            <w:pPr>
              <w:spacing w:after="0" w:before="0" w:lineRule="auto" w:line="276"/>
              <w:jc w:val="left"/>
            </w:pPr>
            <w:r>
              <w:rPr>
                <w:rFonts w:ascii="Times New Roman" w:hAnsi="Times New Roman" w:cs="Times New Roman" w:eastAsia="Times New Roman"/>
                <w:b w:val="false"/>
                <w:sz w:val="26"/>
              </w:rPr>
              <w:t>118/2025/NĐ-C</w:t>
            </w:r>
          </w:p>
        </w:tc>
        <w:tc>
          <w:p/>
          <w:p>
            <w:pPr>
              <w:spacing w:after="0" w:before="0" w:lineRule="auto" w:line="276"/>
              <w:jc w:val="left"/>
            </w:pPr>
            <w:r>
              <w:rPr>
                <w:rFonts w:ascii="Times New Roman" w:hAnsi="Times New Roman" w:cs="Times New Roman" w:eastAsia="Times New Roman"/>
                <w:b w:val="false"/>
                <w:sz w:val="26"/>
              </w:rPr>
              <w:t>Thực hiện thủ tục hành chính theo cơ chế một cửa, một cửa liên thông tại Bộ phận Một cửa và cổng Dịch vụ công quốc gia</w:t>
            </w:r>
          </w:p>
        </w:tc>
        <w:tc>
          <w:p/>
          <w:p>
            <w:pPr>
              <w:spacing w:after="0" w:before="0" w:lineRule="auto" w:line="276"/>
              <w:jc w:val="left"/>
            </w:pPr>
            <w:r>
              <w:rPr>
                <w:rFonts w:ascii="Times New Roman" w:hAnsi="Times New Roman" w:cs="Times New Roman" w:eastAsia="Times New Roman"/>
                <w:b w:val="false"/>
                <w:sz w:val="26"/>
              </w:rPr>
              <w:t>09-06-2025</w:t>
            </w:r>
          </w:p>
        </w:tc>
        <w:tc>
          <w:p/>
          <w:p>
            <w:pPr>
              <w:spacing w:after="0" w:before="0" w:lineRule="auto" w:line="276"/>
              <w:jc w:val="left"/>
            </w:pPr>
            <w:r>
              <w:rPr>
                <w:rFonts w:ascii="Times New Roman" w:hAnsi="Times New Roman" w:cs="Times New Roman" w:eastAsia="Times New Roman"/>
                <w:b w:val="false"/>
                <w:sz w:val="26"/>
              </w:rPr>
              <w:t>Chính phủ</w:t>
            </w:r>
          </w:p>
        </w:tc>
      </w:tr>
    </w:tbl>
    <w:p>
      <w:pPr>
        <w:spacing w:after="0" w:before="240" w:lineRule="auto" w:line="276"/>
        <w:jc w:val="both"/>
      </w:pPr>
      <w:r>
        <w:rPr>
          <w:rFonts w:ascii="Times New Roman" w:hAnsi="Times New Roman" w:cs="Times New Roman" w:eastAsia="Times New Roman"/>
          <w:b w:val="true"/>
          <w:sz w:val="26"/>
        </w:rPr>
        <w:t xml:space="preserve">Yêu cầu, điều kiện thực hiện: </w:t>
      </w:r>
      <w:r>
        <w:rPr>
          <w:rFonts w:ascii="Times New Roman" w:hAnsi="Times New Roman" w:cs="Times New Roman" w:eastAsia="Times New Roman"/>
          <w:b w:val="false"/>
          <w:sz w:val="26"/>
        </w:rPr>
        <w:t>Đảm bảo nguyên tắc, điều kiện tách thửa đất, hợp thửa đất theo quy định tại Điều 220 của Luật Đất đai; điều kiện tách thửa đất, điều kiện hợp thửa đất theo từng loại đất và diện tích tối thiểu được tách thửa đối với từng loại đất theo quy định của Ủy ban nhân dân cấp tỉnh.</w:t>
      </w:r>
    </w:p>
    <w:p>
      <w:pPr>
        <w:spacing w:after="0" w:before="0" w:lineRule="auto" w:line="276"/>
        <w:jc w:val="both"/>
      </w:pPr>
      <w:r>
        <w:rPr>
          <w:rFonts w:ascii="Times New Roman" w:hAnsi="Times New Roman" w:cs="Times New Roman" w:eastAsia="Times New Roman"/>
          <w:b w:val="true"/>
          <w:sz w:val="26"/>
        </w:rPr>
        <w:t xml:space="preserve">Từ khóa: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Mô tả: </w:t>
      </w:r>
      <w:r>
        <w:rPr>
          <w:rFonts w:ascii="Times New Roman" w:hAnsi="Times New Roman" w:cs="Times New Roman" w:eastAsia="Times New Roman"/>
          <w:b w:val="false"/>
          <w:sz w:val="26"/>
        </w:rPr>
        <w:t>Không có thông tin</w:t>
      </w:r>
    </w:p>
    <w:sectPr>
      <w:pgMar w:left="1702" w:top="1137" w:right="1137" w:bottom="1137"/>
    </w:sectPr>
  </w:body>
</w:document>
</file>

<file path=word/settings.xml><?xml version="1.0" encoding="utf-8"?>
<w:settings xmlns:w="http://schemas.openxmlformats.org/wordprocessingml/2006/main"/>
</file>

<file path=word/_rels/document.xml.rels><?xml version="1.0" encoding="UTF-8" standalone="no"?>
<Relationships xmlns="http://schemas.openxmlformats.org/package/2006/relationships">
<Relationship Id="rId1" Target="settings.xml" Type="http://schemas.openxmlformats.org/officeDocument/2006/relationships/settings"/>
</Relationships>

</file>

<file path=docProps/app.xml><?xml version="1.0" encoding="utf-8"?>
<Properties xmlns="http://schemas.openxmlformats.org/officeDocument/2006/extended-properties">
  <Application>Apache POI</Application>
</Properties>
</file>

<file path=docProps/core.xml><?xml version="1.0" encoding="utf-8"?>
<cp:coreProperties xmlns:cp="http://schemas.openxmlformats.org/package/2006/metadata/core-properties" xmlns:dc="http://purl.org/dc/elements/1.1/" xmlns:dcterms="http://purl.org/dc/terms/" xmlns:xsi="http://www.w3.org/2001/XMLSchema-instance">
  <dcterms:created xsi:type="dcterms:W3CDTF">2026-05-25T22:42:48Z</dcterms:created>
  <dc:creator>Apache POI</dc:creator>
</cp:coreProperties>
</file>