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dự án, phương án hỗ trợ phát triển sản xuất cộng đồng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Bước 1: Gửi hồ sơ</w:t>
      </w:r>
    </w:p>
    <w:p>
      <w:pPr>
        <w:spacing w:after="0" w:before="0" w:lineRule="auto" w:line="276"/>
        <w:jc w:val="both"/>
      </w:pPr>
      <w:r>
        <w:rPr>
          <w:rFonts w:ascii="Times New Roman" w:hAnsi="Times New Roman" w:cs="Times New Roman" w:eastAsia="Times New Roman"/>
          <w:b w:val="false"/>
          <w:sz w:val="26"/>
        </w:rPr>
        <w:t>Cộng đồng dân cư xây dựng hồ sơ đề nghị dự án, phương án sản xuất, dịch vụ gửi Trung tâm Phục vụ hành chính công tỉnh Điện Biên;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 Bước 2: Trả lời tính đầy đủ của thành phần hồ sơ</w:t>
      </w:r>
    </w:p>
    <w:p>
      <w:pPr>
        <w:spacing w:after="0" w:before="0" w:lineRule="auto" w:line="276"/>
        <w:jc w:val="both"/>
      </w:pPr>
      <w:r>
        <w:rPr>
          <w:rFonts w:ascii="Times New Roman" w:hAnsi="Times New Roman" w:cs="Times New Roman" w:eastAsia="Times New Roman"/>
          <w:b w:val="false"/>
          <w:sz w:val="26"/>
        </w:rPr>
        <w:t>- Trường hợp nộp trực tiếp, cơ quan tiếp nhận hồ sơ thực hiện tiếp nhận nếu thành phần hồ sơ đầy đủ hoặc từ chối tiếp nhận nếu thành phần hồ sơ chưa đầy đủ.</w:t>
      </w:r>
    </w:p>
    <w:p>
      <w:pPr>
        <w:spacing w:after="0" w:before="0" w:lineRule="auto" w:line="276"/>
        <w:jc w:val="both"/>
      </w:pPr>
      <w:r>
        <w:rPr>
          <w:rFonts w:ascii="Times New Roman" w:hAnsi="Times New Roman" w:cs="Times New Roman" w:eastAsia="Times New Roman"/>
          <w:b w:val="false"/>
          <w:sz w:val="26"/>
        </w:rPr>
        <w:t>- Trường hợp nộp trực tuyến hoặc qua dịch vụ bưu chính công ích, trong thời hạn 03 ngày làm việc kể từ ngày nhận được hồ sơ, cơ quan thực hiện tiếp nhận nếu thành phần hồ sơ đầy đủ hoặc từ chối tiếp nhận nếu hồ sơ không hợp lệ.</w:t>
      </w:r>
    </w:p>
    <w:p>
      <w:pPr>
        <w:shd w:val="clear" w:color="auto" w:fill="F2F6F9"/>
        <w:spacing w:after="0" w:before="120" w:lineRule="auto" w:line="276"/>
        <w:jc w:val="both"/>
      </w:pPr>
      <w:r>
        <w:rPr>
          <w:rFonts w:ascii="Times New Roman" w:hAnsi="Times New Roman" w:cs="Times New Roman" w:eastAsia="Times New Roman"/>
          <w:b w:val="true"/>
          <w:sz w:val="26"/>
        </w:rPr>
        <w:t>c) Bước 3: Thẩm định, phê duyệt</w:t>
      </w:r>
    </w:p>
    <w:p>
      <w:pPr>
        <w:spacing w:after="0" w:before="0" w:lineRule="auto" w:line="276"/>
        <w:jc w:val="both"/>
      </w:pPr>
      <w:r>
        <w:rPr>
          <w:rFonts w:ascii="Times New Roman" w:hAnsi="Times New Roman" w:cs="Times New Roman" w:eastAsia="Times New Roman"/>
          <w:b w:val="false"/>
          <w:sz w:val="26"/>
        </w:rPr>
        <w:t>- Thẩm định: Trong thời hạn 15 ngày làm việc kể từ thời điểm nhận đủ hồ sơ hợp lệ, Tổ thẩm định tổ chức thẩm định. Nếu dự án không đủ điều kiện thì trong thời hạn 10 ngày làm việc kể từ ngày nhận được báo cáo thẩm định của Tổ thẩm định, cơ quan có thẩm quyền thông báo bằng văn bản và nêu rõ lý do.</w:t>
      </w:r>
    </w:p>
    <w:p>
      <w:pPr>
        <w:spacing w:after="0" w:before="0" w:lineRule="auto" w:line="276"/>
        <w:jc w:val="both"/>
      </w:pPr>
      <w:r>
        <w:rPr>
          <w:rFonts w:ascii="Times New Roman" w:hAnsi="Times New Roman" w:cs="Times New Roman" w:eastAsia="Times New Roman"/>
          <w:b w:val="false"/>
          <w:sz w:val="26"/>
        </w:rPr>
        <w:t>- Phê duyệt: Căn cứ ý kiến thẩm định của Tổ thẩm định, Chủ tịch Ủy ban nhân dân cấp xã quyết định phê duyệt dự án hỗ trợ phát triển sản xuất, dịch vụ do cộng đồng dân cư đề xuất. Trong thời hạn 10 ngày làm việc kể từ thời điểm nhận được báo cáo kết quả thẩm định của Tổ thẩm định, cơ quan có thẩm quyền ban hành Quyết định phê duyệt dự án theo phân cấp.</w:t>
      </w:r>
    </w:p>
    <w:p>
      <w:pPr>
        <w:shd w:val="clear" w:color="auto" w:fill="F2F6F9"/>
        <w:spacing w:after="0" w:before="120" w:lineRule="auto" w:line="276"/>
        <w:jc w:val="both"/>
      </w:pPr>
      <w:r>
        <w:rPr>
          <w:rFonts w:ascii="Times New Roman" w:hAnsi="Times New Roman" w:cs="Times New Roman" w:eastAsia="Times New Roman"/>
          <w:b w:val="true"/>
          <w:sz w:val="26"/>
        </w:rPr>
        <w:t>d) Bước 4: Trả kết quả</w:t>
      </w:r>
    </w:p>
    <w:p>
      <w:pPr>
        <w:spacing w:after="0" w:before="0" w:lineRule="auto" w:line="276"/>
        <w:jc w:val="both"/>
      </w:pPr>
      <w:r>
        <w:rPr>
          <w:rFonts w:ascii="Times New Roman" w:hAnsi="Times New Roman" w:cs="Times New Roman" w:eastAsia="Times New Roman"/>
          <w:b w:val="false"/>
          <w:sz w:val="26"/>
        </w:rPr>
        <w:t>Đến hẹn, đại diện cộng đồng dân cư đến trụ sở đơn vị tiếp nhận hồ sơ để nhận kết quả (trường hợp nhận kết quả qua dịch vụ bưu chính thì thực hiện theo hướng dẫn của cơ quan cung cấp dịch vụ bưu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thôn, bản</w:t>
            </w:r>
          </w:p>
        </w:tc>
        <w:tc>
          <w:p/>
          <w:p>
            <w:pPr>
              <w:spacing w:after="0" w:before="0" w:lineRule="auto" w:line="276"/>
              <w:jc w:val="left"/>
            </w:pPr>
            <w:r>
              <w:rPr>
                <w:rFonts w:ascii="Times New Roman" w:hAnsi="Times New Roman" w:cs="Times New Roman" w:eastAsia="Times New Roman"/>
                <w:b w:val="false"/>
                <w:sz w:val="26"/>
              </w:rPr>
              <w:t>Mẫu số 01 biên bản họp thôn bản.docx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thành viên cộng đồng dân cư</w:t>
            </w:r>
          </w:p>
        </w:tc>
        <w:tc>
          <w:p/>
          <w:p>
            <w:pPr>
              <w:spacing w:after="0" w:before="0" w:lineRule="auto" w:line="276"/>
              <w:jc w:val="left"/>
            </w:pPr>
            <w:r>
              <w:rPr>
                <w:rFonts w:ascii="Times New Roman" w:hAnsi="Times New Roman" w:cs="Times New Roman" w:eastAsia="Times New Roman"/>
                <w:b w:val="false"/>
                <w:sz w:val="26"/>
              </w:rPr>
              <w:t>Mẫu số 02 Danh sách thành viên cộng đồng dân cư.docx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hỗ trợ phát triển sản xuất cộng đồng</w:t>
            </w:r>
          </w:p>
        </w:tc>
        <w:tc>
          <w:p/>
          <w:p>
            <w:pPr>
              <w:spacing w:after="0" w:before="0" w:lineRule="auto" w:line="276"/>
              <w:jc w:val="left"/>
            </w:pPr>
            <w:r>
              <w:rPr>
                <w:rFonts w:ascii="Times New Roman" w:hAnsi="Times New Roman" w:cs="Times New Roman" w:eastAsia="Times New Roman"/>
                <w:b w:val="false"/>
                <w:sz w:val="26"/>
              </w:rPr>
              <w:t>Mẫu số 03 Đơn đề nghị hỗ trợ phát triển sản xuất cộng đồng.docx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án/phương án hỗ trợ phát triển sản xuất cộng đồng</w:t>
            </w:r>
          </w:p>
        </w:tc>
        <w:tc>
          <w:p/>
          <w:p>
            <w:pPr>
              <w:spacing w:after="0" w:before="0" w:lineRule="auto" w:line="276"/>
              <w:jc w:val="left"/>
            </w:pPr>
            <w:r>
              <w:rPr>
                <w:rFonts w:ascii="Times New Roman" w:hAnsi="Times New Roman" w:cs="Times New Roman" w:eastAsia="Times New Roman"/>
                <w:b w:val="false"/>
                <w:sz w:val="26"/>
              </w:rPr>
              <w:t>Mẫu số 04 Dự án phương án hỗ trợ phát triển sản xuất cộng đồng.docx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dự án, phương án hỗ trợ phát triển sản xuất cộng đồng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38/2023/NĐ-CP</w:t>
            </w:r>
          </w:p>
        </w:tc>
        <w:tc>
          <w:p/>
          <w:p>
            <w:pPr>
              <w:spacing w:after="0" w:before="0" w:lineRule="auto" w:line="276"/>
              <w:jc w:val="left"/>
            </w:pPr>
            <w:r>
              <w:rPr>
                <w:rFonts w:ascii="Times New Roman" w:hAnsi="Times New Roman" w:cs="Times New Roman" w:eastAsia="Times New Roman"/>
                <w:b w:val="false"/>
                <w:sz w:val="26"/>
              </w:rPr>
              <w:t>Nghị định số 38/2023/NĐ-CP Sửa đổi, bổ sung một số điều của Nghị định số 27/2022/NĐ-CP ngày 19 tháng 4 năm 2022 của Chính phủ quy định cơ chế quản lý, tổ chức thực hiện các chương trình mục tiêu quốc gia</w:t>
            </w:r>
          </w:p>
        </w:tc>
        <w:tc>
          <w:p/>
          <w:p>
            <w:pPr>
              <w:spacing w:after="0" w:before="0" w:lineRule="auto" w:line="276"/>
              <w:jc w:val="left"/>
            </w:pPr>
            <w:r>
              <w:rPr>
                <w:rFonts w:ascii="Times New Roman" w:hAnsi="Times New Roman" w:cs="Times New Roman" w:eastAsia="Times New Roman"/>
                <w:b w:val="false"/>
                <w:sz w:val="26"/>
              </w:rPr>
              <w:t>24-06-2023</w:t>
            </w:r>
          </w:p>
        </w:tc>
        <w:tc>
          <w:p/>
        </w:tc>
      </w:tr>
      <w:tr>
        <w:tc>
          <w:p/>
          <w:p>
            <w:pPr>
              <w:spacing w:after="0" w:before="0" w:lineRule="auto" w:line="276"/>
              <w:jc w:val="left"/>
            </w:pPr>
            <w:r>
              <w:rPr>
                <w:rFonts w:ascii="Times New Roman" w:hAnsi="Times New Roman" w:cs="Times New Roman" w:eastAsia="Times New Roman"/>
                <w:b w:val="false"/>
                <w:sz w:val="26"/>
              </w:rPr>
              <w:t>05/2024/NQ-HĐND</w:t>
            </w:r>
          </w:p>
        </w:tc>
        <w:tc>
          <w:p/>
          <w:p>
            <w:pPr>
              <w:spacing w:after="0" w:before="0" w:lineRule="auto" w:line="276"/>
              <w:jc w:val="left"/>
            </w:pPr>
            <w:r>
              <w:rPr>
                <w:rFonts w:ascii="Times New Roman" w:hAnsi="Times New Roman" w:cs="Times New Roman" w:eastAsia="Times New Roman"/>
                <w:b w:val="false"/>
                <w:sz w:val="26"/>
              </w:rPr>
              <w:t>Ban hành Quy định định mức chi ngân sách nhà nước hỗ trợ, nội dung hỗ trợ, mẫu hồ sơ, trình tự, thủ tục, tiêu chí lựa chọn dự án, kế hoạch, phương án trong thực hiện các hoạt động hỗ trợ phát triển sản xuất liên kết theo chuỗi giá trị và cộng đồng thuộc các chương trình mục tiêu quốc gia giai đoạn 2021-2025 trên địa bàn tỉnh</w:t>
            </w:r>
          </w:p>
        </w:tc>
        <w:tc>
          <w:p/>
          <w:p>
            <w:pPr>
              <w:spacing w:after="0" w:before="0" w:lineRule="auto" w:line="276"/>
              <w:jc w:val="left"/>
            </w:pPr>
            <w:r>
              <w:rPr>
                <w:rFonts w:ascii="Times New Roman" w:hAnsi="Times New Roman" w:cs="Times New Roman" w:eastAsia="Times New Roman"/>
                <w:b w:val="false"/>
                <w:sz w:val="26"/>
              </w:rPr>
              <w:t>18-06-2024</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Đảm bảo tỷ lệ tham gia của người dân thuộc đối tượng đầu tư của chương trình mục tiêu quốc gia.
- Cộng đồng dân cư đề xuất dự án, phương án sản xuất, dịch vụ là nhóm hộ được Ủy ban nhân dân cấp xã xác nhận; tổ hợp tác thành lập tự nguyện theo quy định của pháp luật; nhóm hộ do các tổ chức chính trị - xã hội làm đại diện; nhóm hộ do Ban phát triển thôn làm đại diện hoặc nhóm hộ do người có uy tín trong đồng bào dân tộc thiểu số miền núi.
- Tổ, nhóm cộng đồng phải có thành viên có kinh nghiệm làm kinh tế giỏi được Ủy ban nhân dân cấp xã xác nhận.
- Hộ tham gia dự án, phương án sản xuất, dịch vụ phải đảm bảo các điều kiện về cơ sở vật chất, lao động, tư liệu sản xuất đáp ứng nội dung của dự án và cam kết đảm bảo phần đối ứng thực hiện dự án, phương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2026-05-11T11:23:34Z</dcterms:created>
  <dc:creator>Apache POI</dc:creator>
</cp:coreProperties>
</file>