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dự án, kế hoạch liên kết thực hiện các hoạt động hỗ trợ phát triển sản xuất liên kết theo chuỗi giá trị triển khai trên địa bàn 01 xã trong các ngành, nghề, lĩnh vực khác không thuộc lĩnh vực sản xuất, tiêu thụ sản phẩm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Bước 1: Gửi hồ sơ</w:t>
      </w:r>
    </w:p>
    <w:p>
      <w:pPr>
        <w:spacing w:after="0" w:before="0" w:lineRule="auto" w:line="276"/>
        <w:jc w:val="both"/>
      </w:pPr>
      <w:r>
        <w:rPr>
          <w:rFonts w:ascii="Times New Roman" w:hAnsi="Times New Roman" w:cs="Times New Roman" w:eastAsia="Times New Roman"/>
          <w:b w:val="false"/>
          <w:sz w:val="26"/>
        </w:rPr>
        <w:t>Đơn vị chủ trì liên kết gửi 01 bộ hồ sơ đề xuất (bản gốc) và file dữ liệu của toàn bộ hồ sơ (định dạng PDF) thực hiện dự án, kế hoạch liên kết đến Trung tâm Phục vụ hành chính công cấp xã; Trung tâm phục vụ hành chính công Tỉnh Điện Biên</w:t>
      </w:r>
    </w:p>
    <w:p>
      <w:pPr>
        <w:shd w:val="clear" w:color="auto" w:fill="F2F6F9"/>
        <w:spacing w:after="0" w:before="120" w:lineRule="auto" w:line="276"/>
        <w:jc w:val="both"/>
      </w:pPr>
      <w:r>
        <w:rPr>
          <w:rFonts w:ascii="Times New Roman" w:hAnsi="Times New Roman" w:cs="Times New Roman" w:eastAsia="Times New Roman"/>
          <w:b w:val="true"/>
          <w:sz w:val="26"/>
        </w:rPr>
        <w:t>b) Bước 2: Trả lời tính đầy đủ của thành phần hồ sơ</w:t>
      </w:r>
    </w:p>
    <w:p>
      <w:pPr>
        <w:spacing w:after="0" w:before="0" w:lineRule="auto" w:line="276"/>
        <w:jc w:val="both"/>
      </w:pPr>
      <w:r>
        <w:rPr>
          <w:rFonts w:ascii="Times New Roman" w:hAnsi="Times New Roman" w:cs="Times New Roman" w:eastAsia="Times New Roman"/>
          <w:b w:val="false"/>
          <w:sz w:val="26"/>
        </w:rPr>
        <w:t>- Trường hợp nộp trực tiếp, cơ quan tiếp nhận hồ sơ thực hiện tiếp nhận nếu thành phần hồ sơ đầy đủ hoặc từ chối tiếp nhận nếu thành phần hồ sơ chưa đầy đủ.</w:t>
      </w:r>
    </w:p>
    <w:p>
      <w:pPr>
        <w:spacing w:after="0" w:before="0" w:lineRule="auto" w:line="276"/>
        <w:jc w:val="both"/>
      </w:pPr>
      <w:r>
        <w:rPr>
          <w:rFonts w:ascii="Times New Roman" w:hAnsi="Times New Roman" w:cs="Times New Roman" w:eastAsia="Times New Roman"/>
          <w:b w:val="false"/>
          <w:sz w:val="26"/>
        </w:rPr>
        <w:t>- Trường hợp nộp trực tuyến hoặc qua dịch vụ bưu chính công ích, trong thời hạn 03 ngày làm việc kể từ ngày nhận được hồ sơ, cơ quan thực hiện tiếp nhận nếu thành phần hồ sơ đầy đủ hoặc từ chối tiếp nhận nếu hồ sơ không hợp lệ.</w:t>
      </w:r>
    </w:p>
    <w:p>
      <w:pPr>
        <w:shd w:val="clear" w:color="auto" w:fill="F2F6F9"/>
        <w:spacing w:after="0" w:before="120" w:lineRule="auto" w:line="276"/>
        <w:jc w:val="both"/>
      </w:pPr>
      <w:r>
        <w:rPr>
          <w:rFonts w:ascii="Times New Roman" w:hAnsi="Times New Roman" w:cs="Times New Roman" w:eastAsia="Times New Roman"/>
          <w:b w:val="true"/>
          <w:sz w:val="26"/>
        </w:rPr>
        <w:t>c) Bước 3: Thẩm định, phê duyệt</w:t>
      </w:r>
    </w:p>
    <w:p>
      <w:pPr>
        <w:spacing w:after="0" w:before="0" w:lineRule="auto" w:line="276"/>
        <w:jc w:val="both"/>
      </w:pPr>
      <w:r>
        <w:rPr>
          <w:rFonts w:ascii="Times New Roman" w:hAnsi="Times New Roman" w:cs="Times New Roman" w:eastAsia="Times New Roman"/>
          <w:b w:val="false"/>
          <w:sz w:val="26"/>
        </w:rPr>
        <w:t>- Thẩm định: Trong thời hạn 15 ngày làm việc kể từ thời điểm nhận đủ hồ sơ hợp lệ, UBND cấp xã tổ chức thẩm định. Nếu hồ sơ đủ điều kiện thì cơ quan chủ trì tham mưu thẩm định chuyển cơ quan có thẩm quyền xem xét phê duyệt; nếu hồ sơ không đủ điều kiện thì trong vòng 10 ngày làm việc kể từ khi thẩm định, cơ quan chủ trì tham mưu thẩm định phải thông báo và nêu rõ lý do cho chủ trì liên kết được biết.</w:t>
      </w:r>
    </w:p>
    <w:p>
      <w:pPr>
        <w:spacing w:after="0" w:before="0" w:lineRule="auto" w:line="276"/>
        <w:jc w:val="both"/>
      </w:pPr>
      <w:r>
        <w:rPr>
          <w:rFonts w:ascii="Times New Roman" w:hAnsi="Times New Roman" w:cs="Times New Roman" w:eastAsia="Times New Roman"/>
          <w:b w:val="false"/>
          <w:sz w:val="26"/>
        </w:rPr>
        <w:t>- Phê duyệt: Trên cơ sở kết quả thẩm định của Hội đồng thẩm định, Chủ tịch Ủy ban nhân dân cấp xã quyết định hoặc ủy quyền cho Thủ trưởng phòng, ban trực thuộc quyết định phê duyệt dự án, kế hoạch liên kết triển khai trên địa bàn xã. Trong thời hạn 10 ngày làm việc kể từ thời điểm nhận được báo cáo kết quả thẩm định của Hội đồng thẩm định, cơ quan có thẩm quyền ban hành Quyết định phê duyệt dự án theo phân cấp.</w:t>
      </w:r>
    </w:p>
    <w:p>
      <w:pPr>
        <w:shd w:val="clear" w:color="auto" w:fill="F2F6F9"/>
        <w:spacing w:after="0" w:before="120" w:lineRule="auto" w:line="276"/>
        <w:jc w:val="both"/>
      </w:pPr>
      <w:r>
        <w:rPr>
          <w:rFonts w:ascii="Times New Roman" w:hAnsi="Times New Roman" w:cs="Times New Roman" w:eastAsia="Times New Roman"/>
          <w:b w:val="true"/>
          <w:sz w:val="26"/>
        </w:rPr>
        <w:t>d) Bước 4: Trả kết quả</w:t>
      </w:r>
    </w:p>
    <w:p>
      <w:pPr>
        <w:spacing w:after="0" w:before="0" w:lineRule="auto" w:line="276"/>
        <w:jc w:val="both"/>
      </w:pPr>
      <w:r>
        <w:rPr>
          <w:rFonts w:ascii="Times New Roman" w:hAnsi="Times New Roman" w:cs="Times New Roman" w:eastAsia="Times New Roman"/>
          <w:b w:val="false"/>
          <w:sz w:val="26"/>
        </w:rPr>
        <w:t>Đến hẹn, đại diện chủ trì liên kết đến trụ sở đơn vị tiếp nhận hồ sơ để nhận kết quả (trường hợp nhận kết quả qua dịch vụ bưu chính thì thực hiện theo hướng dẫn của cơ quan cung cấp dịch vụ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liên kết (theo Mẫu số 01 tại Phụ lục I, Quy định ban hành kèm theo Nghị quyết số 05/2024/NQ-HĐND ngày 18/6/2024 của Hội đồng nhân dân tỉnh Điện Biên);</w:t>
            </w:r>
          </w:p>
        </w:tc>
        <w:tc>
          <w:p/>
          <w:p>
            <w:pPr>
              <w:spacing w:after="0" w:before="0" w:lineRule="auto" w:line="276"/>
              <w:jc w:val="left"/>
            </w:pPr>
            <w:r>
              <w:rPr>
                <w:rFonts w:ascii="Times New Roman" w:hAnsi="Times New Roman" w:cs="Times New Roman" w:eastAsia="Times New Roman"/>
                <w:b w:val="false"/>
                <w:sz w:val="26"/>
              </w:rPr>
              <w:t>Mẫu số 01 Đơn đề nghị hỗ trợ liên kết.docx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kế hoạch liên kết (theo Mẫu số 02 tại Phụ lục I, Quy định ban hành kèm theo Nghị quyết số 05/2024/NQ-HĐND ngày 18/6/2024 của Hội đồng nhân dân tỉnh Điện Biên);</w:t>
            </w:r>
          </w:p>
        </w:tc>
        <w:tc>
          <w:p/>
          <w:p>
            <w:pPr>
              <w:spacing w:after="0" w:before="0" w:lineRule="auto" w:line="276"/>
              <w:jc w:val="left"/>
            </w:pPr>
            <w:r>
              <w:rPr>
                <w:rFonts w:ascii="Times New Roman" w:hAnsi="Times New Roman" w:cs="Times New Roman" w:eastAsia="Times New Roman"/>
                <w:b w:val="false"/>
                <w:sz w:val="26"/>
              </w:rPr>
              <w:t>Mẫu số 02 Dự án kế hoạch liên kết.docx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thỏa thuận cử đơn vị chủ trì liên kết (theo Mẫu số 03 tại Phụ lục I, Quy định ban hành kèm theo Nghị quyết số 05/2024/NQ-HĐND ngày 18/6/2024 của Hội đồng nhân dân tỉnh Điện Biên);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giấy chứng nhận đăng ký kinh doanh hoặc quyết định thành lập; tài liệu chứng minh năng lực của đơn vị chủ trì liên kết và các bên liên quan; bản sao kèm bản chính để đối chiếu hoặc bản sao có chứng thực giấy chứng nhận hoặc cam kết về tiêu chuẩn, chất lượng sản phẩm, hàng hóa, dịch vụ; bản sao công chứng hợp đồng hoặc biên bản ký kết giữa đơn vị chủ trì liên kết và đối tượng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dự án, kế hoạch liên kết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38/2023/NĐ-CP</w:t>
            </w:r>
          </w:p>
        </w:tc>
        <w:tc>
          <w:p/>
          <w:p>
            <w:pPr>
              <w:spacing w:after="0" w:before="0" w:lineRule="auto" w:line="276"/>
              <w:jc w:val="left"/>
            </w:pPr>
            <w:r>
              <w:rPr>
                <w:rFonts w:ascii="Times New Roman" w:hAnsi="Times New Roman" w:cs="Times New Roman" w:eastAsia="Times New Roman"/>
                <w:b w:val="false"/>
                <w:sz w:val="26"/>
              </w:rPr>
              <w:t>Nghị định số 38/2023/NĐ-CP Sửa đổi, bổ sung một số điều của Nghị định số 27/2022/NĐ-CP ngày 19 tháng 4 năm 2022 của Chính phủ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05/2024/NQ-HĐND</w:t>
            </w:r>
          </w:p>
        </w:tc>
        <w:tc>
          <w:p/>
          <w:p>
            <w:pPr>
              <w:spacing w:after="0" w:before="0" w:lineRule="auto" w:line="276"/>
              <w:jc w:val="left"/>
            </w:pPr>
            <w:r>
              <w:rPr>
                <w:rFonts w:ascii="Times New Roman" w:hAnsi="Times New Roman" w:cs="Times New Roman" w:eastAsia="Times New Roman"/>
                <w:b w:val="false"/>
                <w:sz w:val="26"/>
              </w:rPr>
              <w:t>Ban hành Quy định định mức chi ngân sách nhà nước hỗ trợ, nội dung hỗ trợ, mẫu hồ sơ, trình tự, thủ tục, tiêu chí lựa chọn dự án, kế hoạch, phương án trong thực hiện các hoạt động hỗ trợ phát triển sản xuất liên kết theo chuỗi giá trị và cộng đồng thuộc các chương trình mục tiêu quốc gia giai đoạn 2021-2025 trên địa bàn tỉnh</w:t>
            </w:r>
          </w:p>
        </w:tc>
        <w:tc>
          <w:p/>
          <w:p>
            <w:pPr>
              <w:spacing w:after="0" w:before="0" w:lineRule="auto" w:line="276"/>
              <w:jc w:val="left"/>
            </w:pPr>
            <w:r>
              <w:rPr>
                <w:rFonts w:ascii="Times New Roman" w:hAnsi="Times New Roman" w:cs="Times New Roman" w:eastAsia="Times New Roman"/>
                <w:b w:val="false"/>
                <w:sz w:val="26"/>
              </w:rPr>
              <w:t>18-06-2024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phát triển kinh tế xã hội của địa phương; 
- Dự án, kế hoạch liên kết phải xác định được kết quả về chỉ số tạo việc làm, mức tăng thu nhập, đóng góp phát triển kinh tế - xã hội tại địa phương theo kế hoạch năm và thời điểm kết thúc dự án.
- Đơn vị chủ trì liên kết và các đối tượng liên kết phải có hợp đồng hoặc biên bản hợp tác về đào tạo, hỗ trợ kỹ thuật, cung ứng vật tư, dịch vụ đầu vào, tổ chức sản xuất, thu hoạch, sơ chế, chế biến, thu mua, tiêu thụ sản phẩm.
- Đảm bảo tỷ lệ tham gia của người dân thuộc đối tượng đầu tư của chương trình mục tiêu quốc gia.
- Dự án liên kết có sự hỗ trợ của nhà nước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2026-05-11T11:23:21Z</dcterms:created>
  <dc:creator>Apache POI</dc:creator>
</cp:coreProperties>
</file>