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lãi suất vốn vay ngân hàng để trồng rừng gỗ lớn đối với chủ rừng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nộp 01 bộ hồ sơ đến Ủy ban nhân dân cấp xã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w:t>
      </w:r>
    </w:p>
    <w:p>
      <w:pPr>
        <w:spacing w:after="0" w:before="0" w:lineRule="auto" w:line="276"/>
        <w:jc w:val="both"/>
      </w:pPr>
      <w:r>
        <w:rPr>
          <w:rFonts w:ascii="Times New Roman" w:hAnsi="Times New Roman" w:cs="Times New Roman" w:eastAsia="Times New Roman"/>
          <w:b w:val="false"/>
          <w:sz w:val="26"/>
        </w:rPr>
        <w:t>b) Bước 2: Xác minh 
Trong thời hạn 9 ngày làm việc kể từ khi nhận được hồ sơ hợp lệ, Ủy ban nhân dân cấp xã chủ trì, phối hợp với các cơ quan có liên quan tổ chức xác minh hồ sơ đề nghị hỗ trợ lãi suất và lập biên bản xác minh điều kiện hỗ trợ lãi suất vốn vay tại ngân hàng theo Mẫu số 05 Phụ lục kèm theo Nghị định này, trình Ủy ban nhân dân cấp tỉnh.</w:t>
      </w:r>
    </w:p>
    <w:p>
      <w:pPr>
        <w:spacing w:after="0" w:before="0" w:lineRule="auto" w:line="276"/>
        <w:jc w:val="both"/>
      </w:pPr>
      <w:r>
        <w:rPr>
          <w:rFonts w:ascii="Times New Roman" w:hAnsi="Times New Roman" w:cs="Times New Roman" w:eastAsia="Times New Roman"/>
          <w:b w:val="false"/>
          <w:sz w:val="26"/>
        </w:rPr>
        <w:t>c) Bước 3: Ban hành quyết định
Trong thời hạn 03 ngày làm việc kể từ ngày nhận được hồ sơ trình của Ủy ban nhân dân cấp xã, Ủy ban nhân dân cấp tỉnh xem xét quyết định hỗ trợ lãi suất vốn vay tại ngân hàng; trường hợp không hỗ trợ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lãi suất vay vốn ngân hàng theo Mẫu số 03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03.NĐ58.2024.doc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thiết kế trồng rừng, chăm sóc năm thứ nhất theo Mẫu số 04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04.NĐ58.2024.doc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tín dụng đã ký giữa chủ rừng và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lãi suất vốn vay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2026-05-11T11:24:58Z</dcterms:created>
  <dc:creator>Apache POI</dc:creator>
</cp:coreProperties>
</file>