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1.012291.H42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gia hạn giấy phép hành nghề nộp 01 bộ hồ sơ theo quy định tại khoản 1 Điều 134 Nghị định số 96/2023/NĐ-CP và nộp phí theo quy định của pháp luật về phí, lệ phí cho Sở Y tế (qua Trung tâm PVHCC tỉnh)  tối thiểu 60 ngày trước ngày giấy phép hành nghề hết hạn.
Trường hợp bị ốm đau, tai nạn hoặc trường hợp bất khả kháng tại thời điểm nộp hồ sơ gia hạn thì phải có văn bản thông báo cho Sở Y tế cấp giấy phép hành nghề để lùi thời gian nộp hồ sơ gia hạn giấy phép hành nghề. 
Người hành nghề được đề nghị lùi thời điểm gia hạn nhiều lần nhưng tổng thời gian lùi thời điểm thực hiện gia hạn không quá 22 tháng kể từ ngày giấy phép hành nghề hết hạn;
Bước 2: 
Trong thời gian kể từ khi nhận đủ hồ sơ đến ngày hết hạn ghi trên giấy phép hành nghề, cơ quan cấp giấy phép hành nghề có trách nhiệm thực hiện việc gia hạn hoặc phải trả lời bằng văn bản và nêu rõ lý do nếu không thực hiện việc gia hạn; trường hợp đến ngày hết hạn ghi trên giấy phép hành nghề mà không có văn bản trả lời thì giấy phép hành nghề tiếp tục có hiệu lực theo quy định; 
Trường hợp cần xác minh việc cập nhật kiến thức y khoa liên tục của người hành nghề theo chương trình do cơ quan, tổ chức nước ngoài thực hiện thì thời hạn thực hiện thủ tục gia hạn là 15 ngày kể từ ngày có kết quả xác minh.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430.000 Đồng</w:t>
            </w:r>
          </w:p>
        </w:tc>
        <w:tc>
          <w:p/>
          <w:p>
            <w:pPr>
              <w:spacing w:after="0" w:before="0" w:lineRule="auto" w:line="276"/>
              <w:jc w:val="left"/>
            </w:pPr>
            <w:r>
              <w:rPr>
                <w:rFonts w:ascii="Times New Roman" w:hAnsi="Times New Roman" w:cs="Times New Roman" w:eastAsia="Times New Roman"/>
                <w:b w:val="false"/>
                <w:sz w:val="26"/>
              </w:rPr>
              <w:t>kể từ khi nhận đủ hồ sơ đến ngày hết hạn ghi trên giấy phép hành nghề (tối thiểu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430.000 Đồng</w:t>
            </w:r>
          </w:p>
        </w:tc>
        <w:tc>
          <w:p/>
          <w:p>
            <w:pPr>
              <w:spacing w:after="0" w:before="0" w:lineRule="auto" w:line="276"/>
              <w:jc w:val="left"/>
            </w:pPr>
            <w:r>
              <w:rPr>
                <w:rFonts w:ascii="Times New Roman" w:hAnsi="Times New Roman" w:cs="Times New Roman" w:eastAsia="Times New Roman"/>
                <w:b w:val="false"/>
                <w:sz w:val="26"/>
              </w:rPr>
              <w:t>kể từ khi nhận đủ hồ sơ đến ngày hết hạn ghi trên giấy phép hành nghề (tối thiểu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430.000 Đồng</w:t>
            </w:r>
          </w:p>
        </w:tc>
        <w:tc>
          <w:p/>
          <w:p>
            <w:pPr>
              <w:spacing w:after="0" w:before="0" w:lineRule="auto" w:line="276"/>
              <w:jc w:val="left"/>
            </w:pPr>
            <w:r>
              <w:rPr>
                <w:rFonts w:ascii="Times New Roman" w:hAnsi="Times New Roman" w:cs="Times New Roman" w:eastAsia="Times New Roman"/>
                <w:b w:val="false"/>
                <w:sz w:val="26"/>
              </w:rPr>
              <w:t>kể từ khi nhận đủ hồ sơ đến ngày hết hạn ghi trên giấy phép hành nghề (tối thiểu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phép hành nghề đã được cấp (không áp dụng đối với trường hợp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đã cập nhật đủ kiến thức y khoa liên tục trong khám bệnh, chữa bệnh theo quy định của Bộ trưởng Bộ Y tế (không áp dụng đối với trường hợp kết quả cập nhật kiến thức y khoa liên tục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khám sức khỏe do cơ sở khám bệnh, chữa bệnh có đủ điều kiện cấp (không áp dụng đối với trường hợp kết quả đánh giá năng lực đã được kết nối, chia sẻ trên Hệ thống thông tin về quản lý hoạt động khám bệnh, chữa bệnh hoặc cơ sở dữ liệu quốc gia về y tế) hoặc bản sao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Thực hiện theo quy định tại khoản 3 Điều 30 của Luật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2026-05-25T12:33:14Z</dcterms:created>
  <dc:creator>Apache POI</dc:creator>
</cp:coreProperties>
</file>