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1.012262.H42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cấp chuyên môn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Bệnh viện đề nghị xếp cấp nộp 01 bộ hồ sơ quy định tại khoản 1 Điều 90 Nghị định số 96/2023/NĐ-CP cho cơ quan quy định tại khoản 3 Điều 90 Nghị định số 96/2023/NĐ-CP cụ thể như sau:
1. Cục Quản lý Khám, chữa bệnh: đối với các cơ sở khám bệnh, chữa bệnh Nhà nước trực thuộc Bộ Y tế trừ các trường hợp thuộc mục 
2. Cục Quản lý Y, Dược cổ truyền: đối với các cơ sở khám bệnh, chữa bệnh y học cổ truyền Nhà nước trực thuộc Bộ Y tế.
3. Sở Y tế tỉnh, thành phố trực thuộc Trung ương xếp cấp chuyên môn kỹ thuật đối với các bệnh viện trên địa bàn quản lý (bao gồm cả các cơ sở khám bệnh, chữa bệnh thuộc Bộ, ngành) và các bệnh viện tư nhân đã được Bộ Y tế cấp giấy phép hoạt động, trừ bệnh viện trực thuộc Bộ Y tế, Bộ Quốc phòng, Bộ Công an.</w:t>
      </w:r>
    </w:p>
    <w:p>
      <w:pPr>
        <w:spacing w:after="0" w:before="0" w:lineRule="auto" w:line="276"/>
        <w:jc w:val="both"/>
      </w:pPr>
      <w:r>
        <w:rPr>
          <w:rFonts w:ascii="Times New Roman" w:hAnsi="Times New Roman" w:cs="Times New Roman" w:eastAsia="Times New Roman"/>
          <w:b w:val="false"/>
          <w:sz w:val="26"/>
        </w:rPr>
        <w:t>Bước 2: 
Sau khi tiếp nhận hồ sơ, cơ quan tiếp nhận hồ sơ cấp cho cơ sở đề nghị phiếu tiếp nhận hồ sơ theo Mẫu 02 Phụ lục I ban hành kèm theo Nghị định số 96/2023/NĐ-CP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cơ quan quy định tại khoản 3 Điều này ban hành văn bản xếp cấp trong thời hạn 60 ngày, kể từ ngày ghi trên phiếu tiếp nhận hồ sơ.
Trường hợp có yêu cầu sửa đổi, bổ sung hồ sơ, cơ quan quy định tại khoản 3 Điều này ban hành văn bản đề nghị sửa đổi, bổ sung hồ sơ trong thời hạn 10 ngày, kể từ ngày ghi trên phiếu tiếp nhận hồ sơ, trong đó phải nêu cụ thể các tài liệu, nội dung cần sửa đổi, bổ sung. Sau khi sửa đổi, bổ sung hồ sơ, bệnh viện đề nghị xếp cấp gửi văn bản kèm theo tài liệu chứng minh đã hoàn thành việc sửa đổi, bổ sung.</w:t>
      </w:r>
    </w:p>
    <w:p>
      <w:pPr>
        <w:spacing w:after="0" w:before="0" w:lineRule="auto" w:line="276"/>
        <w:jc w:val="both"/>
      </w:pPr>
      <w:r>
        <w:rPr>
          <w:rFonts w:ascii="Times New Roman" w:hAnsi="Times New Roman" w:cs="Times New Roman" w:eastAsia="Times New Roman"/>
          <w:b w:val="false"/>
          <w:sz w:val="26"/>
        </w:rPr>
        <w:t>Bước 4: 
Sau khi nhận được hồ sơ sửa đổi, bổ sung, cơ quan quy định tại khoản 3 Điều này có trách nhiệm thực hiện trình tự theo quy định:
- Tại điểm c khoản này đối với trường hợp không còn có yêu cầu sửa đổi, bổ sung;
- Tại điểm d, đ khoản này đối với trường hợp cơ sở đã sửa đổi, bổ sung nhưng chưa đáp ứng yêu cầu.</w:t>
      </w:r>
    </w:p>
    <w:p>
      <w:pPr>
        <w:spacing w:after="0" w:before="0" w:lineRule="auto" w:line="276"/>
        <w:jc w:val="both"/>
      </w:pPr>
      <w:r>
        <w:rPr>
          <w:rFonts w:ascii="Times New Roman" w:hAnsi="Times New Roman" w:cs="Times New Roman" w:eastAsia="Times New Roman"/>
          <w:b w:val="false"/>
          <w:sz w:val="26"/>
        </w:rPr>
        <w:t>Bước 5: 
Trong thời hạn 05 ngày làm việc, kể từ ngày xếp cấp, cơ quan quy định tại khoản 3 Điều này công bố trên Cổng thông tin điện tử của cơ quan và trên Hệ thống thông tin về quản lý hoạt động khám bệnh, chữa bệnh của Bộ Y tế các thông tin sau: tên, địa chỉ cơ sở được xếp cấp và cấp chuyên môn kỹ thuật của cơ sở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xếp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tự chấm điểm theo tiêu chí và nội dung đánh giá quy định tại Phụ lục V ban hành kèm theo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số liệu thống kê minh chứng điểm số đạt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xếp cấp chuyên môn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2026-05-31T07:33:34Z</dcterms:created>
  <dc:creator>Apache POI</dc:creator>
</cp:coreProperties>
</file>