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1.012279.H42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hoạt động khám bệnh, chữa bệnh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01 bộ hồ sơ đề nghị cấp lại giấy phép hoạt động và nộp phí theo quy định của pháp luật về phí, lệ phí tại Trung tâm Phục vụ hành chính công tỉnh
Bước 2:
Sau khi nhận hồ sơ, cơ quan tiếp nhận trả cho cơ sở đề nghị phiếu tiếp nhận hồ sơ.
Bước 3:
Trong thời hạn 20 ngày, kể từ ngày ghi trên phiếu tiếp nhận hồ sơ, cơ quan cấp giấy phép hoạt động cấp lại giấy phép hoạt động và cập nhật thông tin về việc cấp lại giấy phép hoạt động trên cổng thông tin điện tử hoặc trang tin điện tử của cơ quan và trên Hệ thống thông tin về quản lý hoạt động khám bệnh, chữa bệnh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1.500.000 Đồng</w:t>
              <w:t xml:space="preserve"> (không thu phí đối với trường hợp cấp sai do lỗi của cơ quan có thẩm quyền cấp)</w:t>
              <w:br/>
              <w:t>File đính kèm: 43-btc.signed.pdf</w:t>
            </w:r>
          </w:p>
        </w:tc>
        <w:tc>
          <w:p/>
          <w:p>
            <w:pPr>
              <w:spacing w:after="0" w:before="0" w:lineRule="auto" w:line="276"/>
              <w:jc w:val="left"/>
            </w:pPr>
            <w:r>
              <w:rPr>
                <w:rFonts w:ascii="Times New Roman" w:hAnsi="Times New Roman" w:cs="Times New Roman" w:eastAsia="Times New Roman"/>
                <w:b w:val="false"/>
                <w:sz w:val="26"/>
              </w:rPr>
              <w:t>20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1.500.000 Đồng</w:t>
              <w:t xml:space="preserve"> (không thu phí đối với trường hợp cấp sai do lỗi của cơ quan có thẩm quyền cấp)</w:t>
              <w:br/>
              <w:t>File đính kèm: 43-btc.signed.pdf</w:t>
            </w:r>
          </w:p>
        </w:tc>
        <w:tc>
          <w:p/>
          <w:p>
            <w:pPr>
              <w:spacing w:after="0" w:before="0" w:lineRule="auto" w:line="276"/>
              <w:jc w:val="left"/>
            </w:pPr>
            <w:r>
              <w:rPr>
                <w:rFonts w:ascii="Times New Roman" w:hAnsi="Times New Roman" w:cs="Times New Roman" w:eastAsia="Times New Roman"/>
                <w:b w:val="false"/>
                <w:sz w:val="26"/>
              </w:rPr>
              <w:t>20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1.500.000 Đồng</w:t>
              <w:t xml:space="preserve"> (không thu phí đối với trường hợp cấp sai do lỗi của cơ quan có thẩm quyền cấp)</w:t>
              <w:br/>
              <w:t>File đính kèm: 43-btc.signed.pdf</w:t>
            </w:r>
          </w:p>
        </w:tc>
        <w:tc>
          <w:p/>
          <w:p>
            <w:pPr>
              <w:spacing w:after="0" w:before="0" w:lineRule="auto" w:line="276"/>
              <w:jc w:val="left"/>
            </w:pPr>
            <w:r>
              <w:rPr>
                <w:rFonts w:ascii="Times New Roman" w:hAnsi="Times New Roman" w:cs="Times New Roman" w:eastAsia="Times New Roman"/>
                <w:b w:val="false"/>
                <w:sz w:val="26"/>
              </w:rPr>
              <w:t>20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 Trường hợp giấy phép hoạt động bị mất hoặc hư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bị mất hoặc bản gốc giấy phép hoạt động bị hư hỏng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02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Trường hợp sai sót thông tin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02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nội dung, thông tin sai sót cần sửa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gốc giấy phép hoạt động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phục vụ hành chính công tỉnh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Các trường hợp cấp lại giấy phép hoạt động:
a) Giấy phép hoạt động bị mất hoặc hư hỏng;
b) Sai sót thông tin.
2. Đáp ứng theo các điều kiện quy định tại Điều 40 đến Điều 58 Nghị định số 96/2023/NĐ-CP ngày 30 tháng 12 năm 2023 của Chính phủ quy định chi tiết một số điều của Luật Khám bệnh, chữa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2026-05-25T12:32:06Z</dcterms:created>
  <dc:creator>Apache POI</dc:creator>
</cp:coreProperties>
</file>