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1.012278.H42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01 bộ hồ sơ đề nghị cấp mới và nộp phí theo quy định của pháp luật về phí, lệ phí cho Sở Y tế (qua Trung tâm PVHCC tỉnh) cấp giấy phép hoạt động (sau đây viết tắt là cơ quan cấp giấy phép hoạt động).
Bước 2:
Sau khi tiếp nhận hồ sơ, cơ quan tiếp nhận hồ sơ cấp cho cơ sở đề nghị phiếu tiếp nhận hồ sơ theo Mẫu 02 Phụ lục I ban hành kèm theo Nghị định số 96/2023/NĐ-CP.
Bước 3:
Trường hợp không có yêu cầu sửa đổi, bổ sung hồ sơ:
a) Cơ quan cấp giấy phép hoạt động tổ chức thẩm định điều kiện hoạt động và danh mục kỹ thuật thực hiện tại cơ sở đề nghị và lập biên bản thẩm định trong thời hạn 60 ngày, kể từ ngày ghi trên phiếu tiếp nhận hồ sơ;
b) Trường hợp không có yêu cầu sửa đổi, bổ sung phải cấp mới giấy phép hoạt động và ban hành quyết định phê duyệt danh mục kỹ thuật thực hiện tại cơ sở trong thời hạn 10 ngày làm việc, kể từ ngày ban hành biên bản thẩm định;
c) Trường hợp có yêu cầu sửa đổi, bổ sung phải nêu rõ trong nội dung của biên bản thẩm định. 
Trong thời hạn 10 ngày làm việc, kể từ ngày nhận được văn bản thông báo và tài liệu chứng minh đã hoàn thành việc khắc phục, sửa chữa của cơ sở đề nghị, cơ quan cấp giấy phép hoạt động có thể tiến hành kiểm tra thực tế việc khắc phục, sửa chữa của cơ sở đề nghị trong trường hợp cần thiết hoặc thực hiện việc cấp giấy phép hoạt động. Trường hợp không cấp giấy phép hoạt động phải có văn bản trả lời và nêu rõ lý do.
Trường hợp có yêu cầu sửa đổi, bổ sung hồ sơ:
a) Cơ quan cấp giấy phép hoạt động phải có văn bản gửi cơ sở đề nghị, trong đó phải nêu cụ thể các tài liệu, nội dung cần sửa đổi, bổ sung trong thời hạn 10 ngày, kể từ ngày ghi trên phiếu tiếp nhận hồ sơ;
b) Sau khi sửa đổi, bổ sung hồ sơ, cơ sở đề nghị gửi văn bản thông báo và tài liệu chứng minh đã hoàn thành việc sửa đổi, bổ sung;
c) Sau khi nhận hồ sơ sửa đổi, bổ sung, cơ quan cấp giấy phép hoạt động có trách nhiệm thực hiện trình tự theo quy định:
- Tại khoản 3 Điều 61 Nghị định số 96/2023/NĐ-CP đối với trường hợp không còn có yêu cầu sửa đổi, bổ sung;
- Tại điểm a, b khoản 4 Điều 61 Nghị định số 96/2023/NĐ-CP đối với trường hợp cơ sở đã sửa đổi, bổ sung nhưng chưa đáp ứng yêu cầu.
Bước 4:
Trong thời hạn 05 ngày làm việc, kể từ ngày cấp giấy phép hoạt động, cơ quan cấp giấy phép hoạt động công bố trên Cổng thông tin điện tử của mình và trên Hệ thống thông tin về quản lý hoạt động khám bệnh, chữa bệnh của Bộ Y tế các thông tin sau: tên, địa chỉ cơ sở được cấp giấy phép hoạt động; họ, tên và số giấy phép hành nghề người chịu trách nhiệm chuyên môn kỹ thuật; số giấy phép hoạt động; phạm vi hoạt động chuyên môn và thời gian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2.170.000 Đồng</w:t>
              <w:t xml:space="preserve"> (Phòng khám y học cổ truyền, Phòng chẩn trị y học cổ truyền, Trạm y tế)</w:t>
              <w:br/>
              <w:t>File đính kèm: 43-btc.signed.pdf</w:t>
            </w:r>
          </w:p>
          <w:p>
            <w:pPr>
              <w:spacing w:after="0" w:before="0" w:lineRule="auto" w:line="276"/>
              <w:jc w:val="left"/>
            </w:pPr>
            <w:r>
              <w:rPr>
                <w:rFonts w:ascii="Times New Roman" w:hAnsi="Times New Roman" w:cs="Times New Roman" w:eastAsia="Times New Roman"/>
                <w:b w:val="false"/>
                <w:sz w:val="26"/>
              </w:rPr>
              <w:t>Phí : 3.010.000 Đồng</w:t>
              <w:t xml:space="preserve"> (Phòng khám chuyên khoa, Phòng khám liên chuyên khoa, Phòng khám bác sỹ y khoa, Phòng khám răng hàm mặt, Phòng khám dinh dưỡng, Phòng khám y sỹ đa khoa, Cơ sở dịch vụ cận lâm sàng)</w:t>
              <w:br/>
              <w:t>File đính kèm: 43-btc.signed.pdf</w:t>
            </w:r>
          </w:p>
          <w:p>
            <w:pPr>
              <w:spacing w:after="0" w:before="0" w:lineRule="auto" w:line="276"/>
              <w:jc w:val="left"/>
            </w:pPr>
            <w:r>
              <w:rPr>
                <w:rFonts w:ascii="Times New Roman" w:hAnsi="Times New Roman" w:cs="Times New Roman" w:eastAsia="Times New Roman"/>
                <w:b w:val="false"/>
                <w:sz w:val="26"/>
              </w:rPr>
              <w:t>Phí : 3.010.000 Đồng</w:t>
              <w:t xml:space="preserve"> (Các hình thức tổ chức khám bệnh khác)</w:t>
              <w:br/>
              <w:t>File đính kèm: 43-btc.signed.pdf</w:t>
            </w:r>
          </w:p>
          <w:p>
            <w:pPr>
              <w:spacing w:after="0" w:before="0" w:lineRule="auto" w:line="276"/>
              <w:jc w:val="left"/>
            </w:pPr>
            <w:r>
              <w:rPr>
                <w:rFonts w:ascii="Times New Roman" w:hAnsi="Times New Roman" w:cs="Times New Roman" w:eastAsia="Times New Roman"/>
                <w:b w:val="false"/>
                <w:sz w:val="26"/>
              </w:rPr>
              <w:t>Phí : 3.990.000 Đồng</w:t>
              <w:t xml:space="preserve"> (Phòng khám đa khoa, nhà hộ sinh, cơ sở khám bệnh, chữa bệnh y học gia đình)</w:t>
              <w:br/>
              <w:t>File đính kèm: 43-btc.signed.pdf</w:t>
            </w:r>
          </w:p>
          <w:p>
            <w:pPr>
              <w:spacing w:after="0" w:before="0" w:lineRule="auto" w:line="276"/>
              <w:jc w:val="left"/>
            </w:pPr>
            <w:r>
              <w:rPr>
                <w:rFonts w:ascii="Times New Roman" w:hAnsi="Times New Roman" w:cs="Times New Roman" w:eastAsia="Times New Roman"/>
                <w:b w:val="false"/>
                <w:sz w:val="26"/>
              </w:rPr>
              <w:t>Phí : 7.350.000 Đồng</w:t>
              <w:t xml:space="preserve"> (Bệnh viện)</w:t>
              <w:br/>
              <w:t>File đính kèm: 43-btc.signed.pdf</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2.170.000 Đồng</w:t>
              <w:t xml:space="preserve"> (Phòng khám y học cổ truyền, Phòng chẩn trị y học cổ truyền, Trạm y tế)</w:t>
              <w:br/>
              <w:t>File đính kèm: 43-btc.signed.pdf</w:t>
            </w:r>
          </w:p>
          <w:p>
            <w:pPr>
              <w:spacing w:after="0" w:before="0" w:lineRule="auto" w:line="276"/>
              <w:jc w:val="left"/>
            </w:pPr>
            <w:r>
              <w:rPr>
                <w:rFonts w:ascii="Times New Roman" w:hAnsi="Times New Roman" w:cs="Times New Roman" w:eastAsia="Times New Roman"/>
                <w:b w:val="false"/>
                <w:sz w:val="26"/>
              </w:rPr>
              <w:t>Phí : 7.350.000 Đồng</w:t>
              <w:t xml:space="preserve"> (Bệnh viện)</w:t>
              <w:br/>
              <w:t>File đính kèm: 43-btc.signed.pdf</w:t>
            </w:r>
          </w:p>
          <w:p>
            <w:pPr>
              <w:spacing w:after="0" w:before="0" w:lineRule="auto" w:line="276"/>
              <w:jc w:val="left"/>
            </w:pPr>
            <w:r>
              <w:rPr>
                <w:rFonts w:ascii="Times New Roman" w:hAnsi="Times New Roman" w:cs="Times New Roman" w:eastAsia="Times New Roman"/>
                <w:b w:val="false"/>
                <w:sz w:val="26"/>
              </w:rPr>
              <w:t>Phí : 3.010.000 Đồng</w:t>
              <w:t xml:space="preserve"> (Phòng khám chuyên khoa, Phòng khám liên chuyên khoa, Phòng khám bác sỹ y khoa, Phòng khám răng hàm mặt, Phòng khám dinh dưỡng, Phòng khám y sỹ đa khoa, Cơ sở dịch vụ cận lâm sàng)</w:t>
              <w:br/>
              <w:t>File đính kèm: 43-btc.signed.pdf</w:t>
            </w:r>
          </w:p>
          <w:p>
            <w:pPr>
              <w:spacing w:after="0" w:before="0" w:lineRule="auto" w:line="276"/>
              <w:jc w:val="left"/>
            </w:pPr>
            <w:r>
              <w:rPr>
                <w:rFonts w:ascii="Times New Roman" w:hAnsi="Times New Roman" w:cs="Times New Roman" w:eastAsia="Times New Roman"/>
                <w:b w:val="false"/>
                <w:sz w:val="26"/>
              </w:rPr>
              <w:t>Phí : 3.010.000 Đồng</w:t>
              <w:t xml:space="preserve"> (Các hình thức tổ chức khám bệnh khác)</w:t>
              <w:br/>
              <w:t>File đính kèm: 43-btc.signed.pdf</w:t>
            </w:r>
          </w:p>
          <w:p>
            <w:pPr>
              <w:spacing w:after="0" w:before="0" w:lineRule="auto" w:line="276"/>
              <w:jc w:val="left"/>
            </w:pPr>
            <w:r>
              <w:rPr>
                <w:rFonts w:ascii="Times New Roman" w:hAnsi="Times New Roman" w:cs="Times New Roman" w:eastAsia="Times New Roman"/>
                <w:b w:val="false"/>
                <w:sz w:val="26"/>
              </w:rPr>
              <w:t>Phí : 3.990.000 Đồng</w:t>
              <w:t xml:space="preserve"> (Phòng khám đa khoa, nhà hộ sinh, cơ sở khám bệnh, chữa bệnh y học gia đình)</w:t>
              <w:br/>
              <w:t>File đính kèm: 43-btc.signed.pdf</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2.170.000 Đồng</w:t>
              <w:t xml:space="preserve"> (Phòng khám y học cổ truyền, Phòng chẩn trị y học cổ truyền, Trạm y tế)</w:t>
              <w:br/>
              <w:t>File đính kèm: 43-btc.signed.pdf</w:t>
            </w:r>
          </w:p>
          <w:p>
            <w:pPr>
              <w:spacing w:after="0" w:before="0" w:lineRule="auto" w:line="276"/>
              <w:jc w:val="left"/>
            </w:pPr>
            <w:r>
              <w:rPr>
                <w:rFonts w:ascii="Times New Roman" w:hAnsi="Times New Roman" w:cs="Times New Roman" w:eastAsia="Times New Roman"/>
                <w:b w:val="false"/>
                <w:sz w:val="26"/>
              </w:rPr>
              <w:t>Phí : 3.010.000 Đồng</w:t>
              <w:t xml:space="preserve"> (Phòng khám chuyên khoa, Phòng khám liên chuyên khoa, Phòng khám bác sỹ y khoa, Phòng khám răng hàm mặt, Phòng khám dinh dưỡng, Phòng khám y sỹ đa khoa, Cơ sở dịch vụ cận lâm sàng)</w:t>
              <w:br/>
              <w:t>File đính kèm: 43-btc.signed.pdf</w:t>
            </w:r>
          </w:p>
          <w:p>
            <w:pPr>
              <w:spacing w:after="0" w:before="0" w:lineRule="auto" w:line="276"/>
              <w:jc w:val="left"/>
            </w:pPr>
            <w:r>
              <w:rPr>
                <w:rFonts w:ascii="Times New Roman" w:hAnsi="Times New Roman" w:cs="Times New Roman" w:eastAsia="Times New Roman"/>
                <w:b w:val="false"/>
                <w:sz w:val="26"/>
              </w:rPr>
              <w:t>Phí : 3.010.000 Đồng</w:t>
              <w:t xml:space="preserve"> (Các hình thức tổ chức khám bệnh khác)</w:t>
              <w:br/>
              <w:t>File đính kèm: 43-btc.signed.pdf</w:t>
            </w:r>
          </w:p>
          <w:p>
            <w:pPr>
              <w:spacing w:after="0" w:before="0" w:lineRule="auto" w:line="276"/>
              <w:jc w:val="left"/>
            </w:pPr>
            <w:r>
              <w:rPr>
                <w:rFonts w:ascii="Times New Roman" w:hAnsi="Times New Roman" w:cs="Times New Roman" w:eastAsia="Times New Roman"/>
                <w:b w:val="false"/>
                <w:sz w:val="26"/>
              </w:rPr>
              <w:t>Phí : 3.990.000 Đồng</w:t>
              <w:t xml:space="preserve"> (Phòng khám đa khoa, nhà hộ sinh, cơ sở khám bệnh, chữa bệnh y học gia đình)</w:t>
              <w:br/>
              <w:t>File đính kèm: 43-btc.signed.pdf</w:t>
            </w:r>
          </w:p>
          <w:p>
            <w:pPr>
              <w:spacing w:after="0" w:before="0" w:lineRule="auto" w:line="276"/>
              <w:jc w:val="left"/>
            </w:pPr>
            <w:r>
              <w:rPr>
                <w:rFonts w:ascii="Times New Roman" w:hAnsi="Times New Roman" w:cs="Times New Roman" w:eastAsia="Times New Roman"/>
                <w:b w:val="false"/>
                <w:sz w:val="26"/>
              </w:rPr>
              <w:t>Phí : 7.350.000 Đồng</w:t>
              <w:t xml:space="preserve"> (Bệnh viện)</w:t>
              <w:br/>
              <w:t>File đính kèm: 43-btc.signed.pdf</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mới giấy phép hoạt động đối với trường hợp quy định tại các điểm a, b, c, d, đ, e khoản 1 Điều 59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và giấy xác nhận quá trình hành nghề theo Mẫu 11 Phụ lục I ban hành kèm theo Nghị định số 96/2023/NĐ-CP của người chịu trách nhiệm chuyên môn kỹ thuật của cơ sở khám bệnh, chữa bệnh (không áp dụng đối với trường hợp các giấy tờ này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và giấy xác nhận quá trình hành nghề theo Mẫu 11 Phụ lục I ban hành kèm theo Nghị định số 96/2023/NĐ-CP của người phụ trách bộ phận chuyên môn của cơ sở khám bệnh, chữa bệnh (không áp dụng đối với trường hợp các giấy tờ này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11.docx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cơ sở vật chất,  danh mục thiết bị y tế, danh sách nhân sự đáp ứng điều kiện cấp giấy phép hoạt động tương ứng với từng hình thức tổ chức theo Mẫu 08 Phụ lục II ban hành kèm theo Nghị định số 96/2023/NĐ-CP và các giấy tờ chứng minh, xác nhận các kê khai đó</w:t>
            </w:r>
          </w:p>
        </w:tc>
        <w:tc>
          <w:p/>
          <w:p>
            <w:pPr>
              <w:spacing w:after="0" w:before="0" w:lineRule="auto" w:line="276"/>
              <w:jc w:val="left"/>
            </w:pPr>
            <w:r>
              <w:rPr>
                <w:rFonts w:ascii="Times New Roman" w:hAnsi="Times New Roman" w:cs="Times New Roman" w:eastAsia="Times New Roman"/>
                <w:b w:val="false"/>
                <w:sz w:val="26"/>
              </w:rPr>
              <w:t>Mẫu 08 Kê khai cơ sở vật chất.docx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ghi rõ họ tên,  số giấy phép hành nghề của từng người hành nghề đăng ký hành nghề tại cơ sở đó theo Mẫu 01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 DS đăng ký hành nghề.docx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đề  nghị cấp lần đầu giấy phép hoạt động cơ sở khám bệnh, chữa bệnh nhân đạo hoặc cơ sở khám bệnh, chữa bệnh không vì mục đích lợi nhuận thì phải có tài liệu chứng minh nguồn tài chính bảo đảm cho hoạt động khám bệnh, chữa bệnh nhân đạo hoặc hoạt động khám bệnh, chữa bệnh không vì mục đích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do cấp có  thẩm quyền phê duyệt quy định về chức năng nhiệm vụ, cơ cấu tổ chức của bệnh viện của nhà nước hoặc điều lệ tổ chức và hoạt động đối với bệnh viện tư nhân theo Mẫu 03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 điều lệ.docx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mới giấy phép hoạt động đối với cơ sở đã được cấp giấy phép hoạt động nhưng đề nghị chuyển sang hoạt động theo mô hình khám bệnh, chữa bệnh nhân đạo hoặc hoạt động theo mô hình không vì mục đích lợi nhuận, không thu chi phí khám bệnh, chữa bệnh của người bệnh theo quy định tại điểm g khoản 1 Điều 59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nguồn tài chính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cấp mới giấy phép hoạt động:
a) Cơ sở khám bệnh, chữa bệnh lần đầu tiên đề nghị cấp giấy phép hoạt động;
b) Cơ sở khám bệnh, chữa bệnh bị thu hồi giấy phép hoạt động, trừ trường hợp quy định tại điểm d khoản 1 Điều 56 của Luật Khám bệnh, chữa bệnh;
c) Cơ sở khám bệnh, chữa bệnh đã được cấp giấy phép hoạt động nhưng thay đổi hình thức tổ chức;
d) Cơ sở khám bệnh, chữa bệnh đã được cấp giấy phép hoạt động nhưng thay đổi địa điểm;
đ) Cơ sở khám bệnh, chữa bệnh đã được cấp giấy phép hoạt động nhưng chia tách, hợp nhất, sáp nhập;
e) Cơ sở khám bệnh, chữa bệnh đã được cấp giấy phép hoạt động nhưng bổ sung thêm cơ sở khám bệnh, chữa bệnh trực thuộc ngoài khuôn viên của cơ sở đã được cấp phép;
g) Cơ sở khám bệnh, chữa bệnh đã được cấp giấy phép hoạt động nhưng đề nghị chuyển sang hoạt động theo mô hình khám bệnh, chữa bệnh nhân đạo hoặc cơ sở khám bệnh, chữa bệnh không vì mục đích lợi nhuận.
2. Cơ sở khám bệnh, chữa bệnh đã được cấp giấy phép hoạt động có thay đổi chủ sở hữu nhưng không thay đổi tên gọi, quy mô, phạm vi hoạt động, địa điểm thì không phải thực hiện thủ tục đề nghị cấp mới giấy phép hoạt động.
3. Đáp ứng theo các điều kiện quy định tại Điều 40 đến Điều 58 Nghị định số 96/2023/NĐ-CP ngày 30 tháng 12 năm 2023 của Chính phủ quy định chi tiết một số điều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2026-05-25T06:22:11Z</dcterms:created>
  <dc:creator>Apache POI</dc:creator>
</cp:coreProperties>
</file>