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3.000161.H48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lãi suất vay vốn tại tổ chức tín dụng để đầu tư phương tiện, đầu tư kết cấu hạ tầng phụ vụ vận tải hành khách công cộng bằng xe buýt theo quy định tại Khoản 3 Điều 4, Khoản 3 Điều 5 Quyết định số 13/2015/QĐ-TTg ngày 05/5/2015 của Thủ tướng Chính phủ về cơ chế, chính sách khuyến khích phát triển vận tải hành khách công cộng bằng xe buýt.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ba (03) ngày làm việc, kể từ ngày nhận được hồ sơ của chủ dự án, Sở Xây dựng kiểm tra, rà soát hồ sơ, nếu thấy hồ sơ thiếu hoặc không hợp lệ, không đủ điều kiện hỗ trợ theo quy định, Sở Xây dựng thông báo cho chủ dự án</w:t>
      </w:r>
    </w:p>
    <w:p>
      <w:pPr>
        <w:spacing w:after="0" w:before="0" w:lineRule="auto" w:line="276"/>
        <w:jc w:val="both"/>
      </w:pPr>
      <w:r>
        <w:rPr>
          <w:rFonts w:ascii="Times New Roman" w:hAnsi="Times New Roman" w:cs="Times New Roman" w:eastAsia="Times New Roman"/>
          <w:b w:val="false"/>
          <w:sz w:val="26"/>
        </w:rPr>
        <w:t>+ Trong thời hạn mười lăm (15) ngày làm việc kể từ ngày nhận được đầy đủ hồ sơ của chủ dự án, Sở Xây dựng chủ trì thẩm định hồ sơ đề nghị hỗ trợ, số tiền hỗ trợ và tổng hợp, lấy ý kiến của Sở Tài chính trước khi trình Ủy ban nhân dân cấp tỉnh phê duyệt về danh sách dự án được hỗ trợ, số tiền hỗ trợ, thời gian hỗ trợ cụ thể cho từng dự án.</w:t>
      </w:r>
    </w:p>
    <w:p>
      <w:pPr>
        <w:spacing w:after="0" w:before="0" w:lineRule="auto" w:line="276"/>
        <w:jc w:val="both"/>
      </w:pPr>
      <w:r>
        <w:rPr>
          <w:rFonts w:ascii="Times New Roman" w:hAnsi="Times New Roman" w:cs="Times New Roman" w:eastAsia="Times New Roman"/>
          <w:b w:val="false"/>
          <w:sz w:val="26"/>
        </w:rPr>
        <w:t>+ Chủ dự án nộp một (01) bộ hồ sơ đề nghị hỗ trợ cho Sở Xây dựng nơi chủ dự án thực hiện dự án.</w:t>
      </w:r>
    </w:p>
    <w:p>
      <w:pPr>
        <w:spacing w:after="0" w:before="0" w:lineRule="auto" w:line="276"/>
        <w:jc w:val="both"/>
      </w:pPr>
      <w:r>
        <w:rPr>
          <w:rFonts w:ascii="Times New Roman" w:hAnsi="Times New Roman" w:cs="Times New Roman" w:eastAsia="Times New Roman"/>
          <w:b w:val="false"/>
          <w:sz w:val="26"/>
        </w:rPr>
        <w:t>+ Trong thời hạn mười (10) ngày làm việc kể từ ngày nhận được Tờ trình đề nghị của Sở Xây dựng, căn cứ kết quả thẩm định, Ủy ban nhân dân cấp tỉnh xem xét ra quyết định về danh sách dự án được hỗ trợ, số tiền hỗ trợ, thời gian hỗ trợ cụ thể cho từng dự án, gửi cho các cơ quan: Sở Xây dựng, Sở Tài chính, Sở Kế hoạch và Đầu tư, Kho Bạc nhà nước và công bố công khai.</w:t>
      </w:r>
    </w:p>
    <w:p>
      <w:pPr>
        <w:spacing w:after="0" w:before="0" w:lineRule="auto" w:line="276"/>
        <w:jc w:val="both"/>
      </w:pPr>
      <w:r>
        <w:rPr>
          <w:rFonts w:ascii="Times New Roman" w:hAnsi="Times New Roman" w:cs="Times New Roman" w:eastAsia="Times New Roman"/>
          <w:b w:val="false"/>
          <w:sz w:val="26"/>
        </w:rPr>
        <w:t>+ Căn cứ quyết định hỗ trợ chủ dự án của Ủy ban nhân dân cấp tỉnh, Sở Tài chính lập Lệnh chi tiền gửi Kho bạc Nhà nước tỉnh, huyện.</w:t>
      </w:r>
    </w:p>
    <w:p>
      <w:pPr>
        <w:spacing w:after="0" w:before="0" w:lineRule="auto" w:line="276"/>
        <w:jc w:val="both"/>
      </w:pPr>
      <w:r>
        <w:rPr>
          <w:rFonts w:ascii="Times New Roman" w:hAnsi="Times New Roman" w:cs="Times New Roman" w:eastAsia="Times New Roman"/>
          <w:b w:val="false"/>
          <w:sz w:val="26"/>
        </w:rPr>
        <w:t>+ Căn cứ Lệnh chi tiền của Sở Tài chính, Kho bạc Nhà nước thực hiện thanh toán số tiền hỗ trợ lãi suất cho chủ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hỗ trợ lãi suất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phê duyệt của cơ quan có thẩm quyền về dự án đầu tư phương tiện, đầu tư kết cấu hạ tầng phục vụ vận tải hành khách công cộng bằng xe buýt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dư nợ vay, lãi vay và chứng từ hoặc các giấy tờ tương đương có xác nhận của tổ chức tín dụng xác định chủ dự án có vay vốn tại tổ chức tín dụng, khoản nợ trong hạn và sử dụng vốn vay đúng mục đích để thực hiện dự án đầu tư phương tiện, đầu tư kết cấu hạ tầng phục vụ vận tải hành khách công cộng bằng xe buýt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hoặc bảng tính số tiền lãi đề nghị được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hỗ trợ lãi suất vay vốn tại tổ chức tín dụng để đầu tư phương tiện, đầu tư kết cấu hạ tầng phục vụ vận tải hành khách công cộng bằng xe buýt của chủ dự án có xác nhận của chính quyền địa phương nơi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 Kiểm soát thủ tục hành chính tỉnh Quảng Ngãi, địa chỉ: Số 54 đường Hùng Vương, thành phố Quảng Ngãi,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danh sách dự án được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13/2015/QĐ-TTg</w:t>
            </w:r>
          </w:p>
        </w:tc>
        <w:tc>
          <w:p/>
          <w:p>
            <w:pPr>
              <w:spacing w:after="0" w:before="0" w:lineRule="auto" w:line="276"/>
              <w:jc w:val="left"/>
            </w:pPr>
            <w:r>
              <w:rPr>
                <w:rFonts w:ascii="Times New Roman" w:hAnsi="Times New Roman" w:cs="Times New Roman" w:eastAsia="Times New Roman"/>
                <w:b w:val="false"/>
                <w:sz w:val="26"/>
              </w:rPr>
              <w:t>Quyết định 13/2015/QĐ-TTg</w:t>
            </w:r>
          </w:p>
        </w:tc>
        <w:tc>
          <w:p/>
          <w:p>
            <w:pPr>
              <w:spacing w:after="0" w:before="0" w:lineRule="auto" w:line="276"/>
              <w:jc w:val="left"/>
            </w:pPr>
            <w:r>
              <w:rPr>
                <w:rFonts w:ascii="Times New Roman" w:hAnsi="Times New Roman" w:cs="Times New Roman" w:eastAsia="Times New Roman"/>
                <w:b w:val="false"/>
                <w:sz w:val="26"/>
              </w:rPr>
              <w:t>05-05-2015</w:t>
            </w:r>
          </w:p>
        </w:tc>
        <w:tc>
          <w:p/>
        </w:tc>
      </w:tr>
      <w:tr>
        <w:tc>
          <w:p/>
          <w:p>
            <w:pPr>
              <w:spacing w:after="0" w:before="0" w:lineRule="auto" w:line="276"/>
              <w:jc w:val="left"/>
            </w:pPr>
            <w:r>
              <w:rPr>
                <w:rFonts w:ascii="Times New Roman" w:hAnsi="Times New Roman" w:cs="Times New Roman" w:eastAsia="Times New Roman"/>
                <w:b w:val="false"/>
                <w:sz w:val="26"/>
              </w:rPr>
              <w:t>02/2016/TT-BTC</w:t>
            </w:r>
          </w:p>
        </w:tc>
        <w:tc>
          <w:p/>
          <w:p>
            <w:pPr>
              <w:spacing w:after="0" w:before="0" w:lineRule="auto" w:line="276"/>
              <w:jc w:val="left"/>
            </w:pPr>
            <w:r>
              <w:rPr>
                <w:rFonts w:ascii="Times New Roman" w:hAnsi="Times New Roman" w:cs="Times New Roman" w:eastAsia="Times New Roman"/>
                <w:b w:val="false"/>
                <w:sz w:val="26"/>
              </w:rPr>
              <w:t>Thông tư 02/2016/TT-BTC</w:t>
            </w:r>
          </w:p>
        </w:tc>
        <w:tc>
          <w:p/>
          <w:p>
            <w:pPr>
              <w:spacing w:after="0" w:before="0" w:lineRule="auto" w:line="276"/>
              <w:jc w:val="left"/>
            </w:pPr>
            <w:r>
              <w:rPr>
                <w:rFonts w:ascii="Times New Roman" w:hAnsi="Times New Roman" w:cs="Times New Roman" w:eastAsia="Times New Roman"/>
                <w:b w:val="false"/>
                <w:sz w:val="26"/>
              </w:rPr>
              <w:t>06-01-2016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dự án đầu tư phương tiện, dự án đầu tư kết cấu hạ tầng phục vụ vận tải hành khách công cộng bằng xe buýt được cấp có thẩm quyền phê duyệt theo quy định pháp luật về đầu tư;
+ Có vay vốn tại tổ chức tín dụng để thực hiện các dự án đầu tư phương tiện, dự án đầu tư kết cấu hạ tầng phục vụ vận tải hành khách công cộng bằng xe buýt được cấp có thẩm quyền phê duyệt theo quy định pháp luật về đầu tư và sử dụng vốn vay đúng mục đích;
+ Đảm bảo các quy định hiện hành trong kinh doanh vận tải hành khách công cộng bằng xe buýt.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2026-04-30T10:23:18Z</dcterms:created>
  <dc:creator>Apache POI</dc:creator>
</cp:coreProperties>
</file>