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1.012301.H50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604/QĐ-UBND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tiếp nhận vào viên chức không giữ chức vụ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chức, viên chức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đứng đầu cơ quan có thẩm quyền tuyển dụng thành lập Hội đồng kiểm tra, sát hạch.</w:t>
      </w:r>
    </w:p>
    <w:p>
      <w:pPr>
        <w:spacing w:after="0" w:before="0" w:lineRule="auto" w:line="276"/>
        <w:jc w:val="both"/>
      </w:pPr>
      <w:r>
        <w:rPr>
          <w:rFonts w:ascii="Times New Roman" w:hAnsi="Times New Roman" w:cs="Times New Roman" w:eastAsia="Times New Roman"/>
          <w:b w:val="false"/>
          <w:sz w:val="26"/>
        </w:rPr>
        <w:t>Bước 2. Hội đồng kiểm tra, sát hạch kiểm tra về các điều kiện, tiêu chuẩn, văn bằng, chứng chỉ của người được đề nghị tiếp nhận theo yêu cầu của vị trí việc làm cần tuyển.</w:t>
      </w:r>
    </w:p>
    <w:p>
      <w:pPr>
        <w:spacing w:after="0" w:before="0" w:lineRule="auto" w:line="276"/>
        <w:jc w:val="both"/>
      </w:pPr>
      <w:r>
        <w:rPr>
          <w:rFonts w:ascii="Times New Roman" w:hAnsi="Times New Roman" w:cs="Times New Roman" w:eastAsia="Times New Roman"/>
          <w:b w:val="false"/>
          <w:sz w:val="26"/>
        </w:rPr>
        <w:t>Bước 3. Tổ chức sát hạch về trình độ hiểu biết chung và năng lực chuyên môn, nghiệp vụ của người được đề nghị tiếp nhận. Hội đồng kiểm tra, sát hạch phải báo cáo người đứng đầu cơ quan có thẩm quyền tuyển dụng thống nhất về hình thức và nội dung sát hạch trước khi thực hiện.</w:t>
      </w:r>
    </w:p>
    <w:p>
      <w:pPr>
        <w:spacing w:after="0" w:before="0" w:lineRule="auto" w:line="276"/>
        <w:jc w:val="both"/>
      </w:pPr>
      <w:r>
        <w:rPr>
          <w:rFonts w:ascii="Times New Roman" w:hAnsi="Times New Roman" w:cs="Times New Roman" w:eastAsia="Times New Roman"/>
          <w:b w:val="false"/>
          <w:sz w:val="26"/>
        </w:rPr>
        <w:t>Bước 4. Người đứng đầu cơ quan có thẩm quyền tuyển dụng quyết định theo thẩm quyền.</w:t>
      </w:r>
    </w:p>
    <w:p>
      <w:pPr>
        <w:spacing w:after="0" w:before="0" w:lineRule="auto" w:line="276"/>
        <w:jc w:val="both"/>
      </w:pPr>
      <w:r>
        <w:rPr>
          <w:rFonts w:ascii="Times New Roman" w:hAnsi="Times New Roman" w:cs="Times New Roman" w:eastAsia="Times New Roman"/>
          <w:b w:val="false"/>
          <w:sz w:val="26"/>
        </w:rPr>
        <w:t>Bước 5. Ký kết Hợp đồng làm việc.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thời gian cụ thể </w:t>
            </w:r>
          </w:p>
        </w:tc>
        <w:tc>
          <w:p/>
          <w:p>
            <w:pPr>
              <w:spacing w:after="0" w:before="0" w:lineRule="auto" w:line="276"/>
              <w:jc w:val="left"/>
            </w:pPr>
            <w:r>
              <w:rPr>
                <w:rFonts w:ascii="Times New Roman" w:hAnsi="Times New Roman" w:cs="Times New Roman" w:eastAsia="Times New Roman"/>
                <w:b w:val="false"/>
                <w:sz w:val="26"/>
              </w:rPr>
              <w:t>Phí :  Đồng</w:t>
            </w:r>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Nộp tại trụ sở cơ quan có thẩm quyền tuyển dụng.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Sơ yếu lý lịch cá nhân theo quy định hiện hành được lập trong thời hạn 30 ngày trước ngày nộp hồ sơ tiếp nhận, có xác nhận của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Bản sao các văn bằng, chứng chỉ theo yêu cầu của vị trí việc làm cần tuyển;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Giấy chứng nhận sức khỏe do cơ quan y tế có thẩm quyền cấp chậm nhất là 30 ngày trước ngày nộp hồ sơ tiếp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Bản tự nhận xét, đánh giá của người được đề nghị tiếp nhận về phẩm chất chính trị, phẩm chất đạo đức, trình độ và năng lực chuyên môn, nghiệp vụ, quá trình công tác có xác nhận của người đứng đầu cơ quan, tổ chức, đơn vị nơi công tác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UBND tỉnh - tỉnh Quảng Trị, Sở Nội vụ - tỉnh Quảng Trị, Sở Tư pháp - tỉnh Quảng Trị, Sở Kế hoạch và Đầu tư - tỉnh Quảng Bình, Sở Tài chính - tỉnh Quảng Trị, Sở Công Thương - tỉnh Quảng Trị, Sở Nông nghiệp và Phát triển nông thôn - tỉnh Quảng Bình, Sở Giao thông vận tải - tỉnh Quảng Bình, Sở Xây dựng - tỉnh Quảng Trị, Sở Nông Nghiệp và Môi trường - tỉnh Quảng Trị, Sở Thông tin và Truyền thông - tỉnh Quảng Bình, Sở Lao động - Thương binh và Xã hội - tỉnh Quảng Bình, Sở Văn hóa, Thể thao và Du lịch - tỉnh Quảng Trị, Sở Khoa học và Công nghệ - tỉnh Quảng Trị, Sở Giáo dục và Đào tạo - tỉnh Quảng Trị, Sở Y tế - tỉnh Quảng Trị, Thanh tra tỉnh - tỉnh Quảng Trị, Sở Ngoại vụ - tỉnh Quảng Trị, Sở Dân tộc và Tôn giáo - tỉnh Quảng Trị, Sở Du lịch - tỉnh Quảng Bình, Ban quản lý khu kinh tế - tỉnh Quảng Trị, Đơn vị sự nghiệp công lập thuộc cơ quan hành chính nhà nước, Phòng Nội vụ cấp huyện, thị xã, thành phố - tỉnh Quảng Bình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Bộ phận một cửa các sở, ban, ngành; Bộ phận một cửa của UBND các huyện, thị xã, thành phố</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tiếp nhận viên chức và hợp đồng làm việc xác định thời hạn.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58/2010/QH12</w:t>
            </w:r>
          </w:p>
        </w:tc>
        <w:tc>
          <w:p/>
          <w:p>
            <w:pPr>
              <w:spacing w:after="0" w:before="0" w:lineRule="auto" w:line="276"/>
              <w:jc w:val="left"/>
            </w:pPr>
            <w:r>
              <w:rPr>
                <w:rFonts w:ascii="Times New Roman" w:hAnsi="Times New Roman" w:cs="Times New Roman" w:eastAsia="Times New Roman"/>
                <w:b w:val="false"/>
                <w:sz w:val="26"/>
              </w:rPr>
              <w:t>Luật Viên chức</w:t>
            </w:r>
          </w:p>
        </w:tc>
        <w:tc>
          <w:p/>
          <w:p>
            <w:pPr>
              <w:spacing w:after="0" w:before="0" w:lineRule="auto" w:line="276"/>
              <w:jc w:val="left"/>
            </w:pPr>
            <w:r>
              <w:rPr>
                <w:rFonts w:ascii="Times New Roman" w:hAnsi="Times New Roman" w:cs="Times New Roman" w:eastAsia="Times New Roman"/>
                <w:b w:val="false"/>
                <w:sz w:val="26"/>
              </w:rPr>
              <w:t>15-11-2010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115/2020/NĐ-CP</w:t>
            </w:r>
          </w:p>
        </w:tc>
        <w:tc>
          <w:p/>
          <w:p>
            <w:pPr>
              <w:spacing w:after="0" w:before="0" w:lineRule="auto" w:line="276"/>
              <w:jc w:val="left"/>
            </w:pPr>
            <w:r>
              <w:rPr>
                <w:rFonts w:ascii="Times New Roman" w:hAnsi="Times New Roman" w:cs="Times New Roman" w:eastAsia="Times New Roman"/>
                <w:b w:val="false"/>
                <w:sz w:val="26"/>
              </w:rPr>
              <w:t>Nghị định 115/2020/NĐ-CP</w:t>
            </w:r>
          </w:p>
        </w:tc>
        <w:tc>
          <w:p/>
          <w:p>
            <w:pPr>
              <w:spacing w:after="0" w:before="0" w:lineRule="auto" w:line="276"/>
              <w:jc w:val="left"/>
            </w:pPr>
            <w:r>
              <w:rPr>
                <w:rFonts w:ascii="Times New Roman" w:hAnsi="Times New Roman" w:cs="Times New Roman" w:eastAsia="Times New Roman"/>
                <w:b w:val="false"/>
                <w:sz w:val="26"/>
              </w:rPr>
              <w:t>25-09-2020</w:t>
            </w:r>
          </w:p>
        </w:tc>
        <w:tc>
          <w:p/>
        </w:tc>
      </w:tr>
      <w:tr>
        <w:tc>
          <w:p/>
          <w:p>
            <w:pPr>
              <w:spacing w:after="0" w:before="0" w:lineRule="auto" w:line="276"/>
              <w:jc w:val="left"/>
            </w:pPr>
            <w:r>
              <w:rPr>
                <w:rFonts w:ascii="Times New Roman" w:hAnsi="Times New Roman" w:cs="Times New Roman" w:eastAsia="Times New Roman"/>
                <w:b w:val="false"/>
                <w:sz w:val="26"/>
              </w:rPr>
              <w:t>52/2019/QH14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cán bộ, công chức và Luật viên chức</w:t>
            </w:r>
          </w:p>
        </w:tc>
        <w:tc>
          <w:p/>
          <w:p>
            <w:pPr>
              <w:spacing w:after="0" w:before="0" w:lineRule="auto" w:line="276"/>
              <w:jc w:val="left"/>
            </w:pPr>
            <w:r>
              <w:rPr>
                <w:rFonts w:ascii="Times New Roman" w:hAnsi="Times New Roman" w:cs="Times New Roman" w:eastAsia="Times New Roman"/>
                <w:b w:val="false"/>
                <w:sz w:val="26"/>
              </w:rPr>
              <w:t>25-11-2019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85/2023/NĐ-CP</w:t>
            </w:r>
          </w:p>
        </w:tc>
        <w:tc>
          <w:p/>
          <w:p>
            <w:pPr>
              <w:spacing w:after="0" w:before="0" w:lineRule="auto" w:line="276"/>
              <w:jc w:val="left"/>
            </w:pPr>
            <w:r>
              <w:rPr>
                <w:rFonts w:ascii="Times New Roman" w:hAnsi="Times New Roman" w:cs="Times New Roman" w:eastAsia="Times New Roman"/>
                <w:b w:val="false"/>
                <w:sz w:val="26"/>
              </w:rPr>
              <w:t>Nghị định số 85/2023/NĐ-CP ngày 07/12/2023 sửa đổi, bổ sung một số điều của Nghị định số 115/2020/NĐ-CP</w:t>
            </w:r>
          </w:p>
        </w:tc>
        <w:tc>
          <w:p/>
          <w:p>
            <w:pPr>
              <w:spacing w:after="0" w:before="0" w:lineRule="auto" w:line="276"/>
              <w:jc w:val="left"/>
            </w:pPr>
            <w:r>
              <w:rPr>
                <w:rFonts w:ascii="Times New Roman" w:hAnsi="Times New Roman" w:cs="Times New Roman" w:eastAsia="Times New Roman"/>
                <w:b w:val="false"/>
                <w:sz w:val="26"/>
              </w:rPr>
              <w:t>07-12-2023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Người có đủ 05 năm công tác trở lên đang làm công việc chuyên môn, nghiệp vụ phù hợp với công việc ở vị trí việc làm dự kiến tiếp nhận tại cơ quan, tổ chức, đơn vị được thành lập theo quy định của pháp luật.
Thời gian công tác quy định tại điểm này là thời gian làm chuyên môn, nghiệp vụ phù hợp với công việc ở vị trí việc làm dự kiến tiếp nhận theo đúng quy định của pháp luật, có đóng bảo hiểm xã hội bắt buộc, không tính thời gian tập sự theo quy định tại Điều 21 Nghị định số 115/2020/NĐ-CP.
Trường hợp thời gian tập sự, thử việc tại công việc đang làm theo quy định của pháp luật ít hơn thời gian tập sự của công việc được tiếp nhận quy định tại khoản 2 Điều 21 Nghị định số 115/2020/NĐ-CP thì thời gian chênh lệch ít hơn này được tính vào thời gian tập sự.
Trường hợp có thời gian công tác không liên tục mà chưa nhận trợ cấp bảo hiểm xã hội một lần thì được cộng dồn.
b) Cán bộ, công chức cấp xã đang làm công việc phù hợp với công việc ở vị trí việc làm dự kiến tiếp nhận.
c) Người học theo chế độ cử tuyển theo quy định của pháp luật, sau khi tốt nghiệp về công tác tại địa phương nơi cử đi học.
Cơ quan có thẩm quyền tuyển dụng hoặc được phân cấp thẩm quyền tuyển dụng căn cứ vào đặc thù của cơ quan, tổ chức, đơn vị mình có thể quy định tiêu chuẩn, điều kiện cao hơn đối với các trường hợp tiếp nhận quy định tại khoản này.</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2026-05-02T10:04:49Z</dcterms:created>
  <dc:creator>Apache POI</dc:creator>
</cp:coreProperties>
</file>