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01 bộ hồ sơ đề nghị cấp mới và nộp phí theo quy định của pháp luật về phí, lệ phí cho cơ quan có thẩm quyền cấp giấy phép hoạt động (sau đây viết tắt là cơ quan cấp giấy phép hoạt động) cụ thể như sau:
	1. Bộ Y tế: 
	a) Cục Quản lý Khám chữa bệnh: đối với các cơ sở khám bệnh, chữa bệnh Nhà nước trực thuộc Bộ Y tế và bệnh viện tư nhân trừ các trường hợp thuộc điểm b, c mục này;
	b) Cục Quản lý Y, Dược cổ truyền: đối với các cơ sở khám bệnh, chữa bệnh y học cổ truyền Nhà nước  trực thuộc Bộ Y tế và bệnh viện y học cổ truyền tư nhân.
	c) Cục Phòng bệnh: đối với các cơ sở khám bệnh, chữa bệnh tổ chức theo hình thức cơ sở độc lập chỉ thực hiện khám bệnh, chữa bệnh đối với bệnh nghề nghiệp Nhà nước trực thuộc Bộ Y tế và Bệnh viện tư nhân tổ chức theo hình thức cơ sở độc lập chỉ thực hiện khám bệnh, chữa bệnh đối với bệnh nghề nghiệp.
	2. Sở Y tế:
	a) Các cơ sở khám bệnh, chữa bệnh trên địa bàn quản lý của Sở Y tế (bao gồm cả các cơ sở khám bệnh, chữa bệnh thuộc Bộ, ngành), trừ cơ sở khám bệnh, chữa bệnh trực thuộc Bộ Y tế và các cơ sở khám bệnh, chữa bệnh thuộc thẩm quyền quản lý của Bộ Quốc phòng, Bộ Công an;
	b) Cơ sở khám bệnh, chữa bệnh tư nhân trên địa bàn quản lý (trừ bệnh viện tư nhân).
Bước 2:
Sau khi tiếp nhận hồ sơ, cơ quan tiếp nhận hồ sơ cấp cho cơ sở đề nghị phiếu tiếp nhận hồ sơ theo Mẫu 02 Phụ lục I ban hành kèm theo Nghị định số 96/2023/NĐ-CP.
Bước 3:
1. Trường hợp không có yêu cầu sửa đổi, bổ sung hồ sơ:
a) Cơ quan cấp giấy phép hoạt động tổ chức thẩm định điều kiện hoạt động và danh mục kỹ thuật thực hiện tại cơ sở đề nghị và lập biên bản thẩm định trong thời hạn 60 ngày, kể từ ngày ghi trên phiếu tiếp nhận hồ sơ;
b) Trường hợp không có yêu cầu sửa đổi, bổ sung phải cấp mới giấy phép hoạt động và ban hành quyết định phê duyệt danh mục kỹ thuật thực hiện tại cơ sở trong thời hạn 10 ngày làm việc, kể từ ngày ban hành biên bản thẩm định;
c) Trường hợp có yêu cầu sửa đổi, bổ sung phải nêu rõ trong nội dung của biên bản thẩm định. 
Trong thời hạn 10 ngày làm việc, kể từ ngày nhận được văn bản thông báo và tài liệu chứng minh đã hoàn thành việc khắc phục, sửa chữa của cơ sở đề nghị, cơ quan cấp giấy phép hoạt động có thể tiến hành kiểm tra thực tế việc khắc phục, sửa chữa của cơ sở đề nghị trong trường hợp cần thiết hoặc thực hiện việc cấp giấy phép hoạt động. Trường hợp không cấp giấy phép hoạt động phải có văn bản trả lời và nêu rõ lý do.
2. Trường hợp có yêu cầu sửa đổi, bổ sung hồ sơ:
a) Cơ quan cấp giấy phép hoạt động phải có văn bản gửi cơ sở đề nghị, trong đó phải nêu cụ thể các tài liệu, nội dung cần sửa đổi, bổ sung trong thời hạn 10 ngày, kể từ ngày ghi trên phiếu tiếp nhận hồ sơ;
b) Sau khi sửa đổi, bổ sung hồ sơ, cơ sở đề nghị gửi văn bản thông báo và tài liệu chứng minh đã hoàn thành việc sửa đổi, bổ sung;
c) Sau khi nhận hồ sơ sửa đổi, bổ sung, cơ quan cấp giấy phép hoạt động có trách nhiệm thực hiện trình tự theo quy định:
- Đối với trường hợp không còn có yêu cầu sửa đổi, bổ sung thực hiện theo trình tự tại mục 1 của bước này;
- Đối với trường hợp cơ sở đã sửa đổi, bổ sung nhưng chưa đáp ứng yêu cầu thực hiện theo trình tự tại mục 2 của bước này.
Bước 4:
Trong thời hạn 05 ngày làm việc, kể từ ngày cấp giấy phép hoạt động, cơ quan cấp giấy phép hoạt động công bố trên Cổng thông tin điện tử của mình và trên Hệ thống thông tin về quản lý hoạt động khám bệnh, chữa bệnh của Bộ Y tế các thông tin sau: tên, địa chỉ cơ sở được cấp giấy phép hoạt động; họ, tên và số giấy phép hành nghề người chịu trách nhiệm chuyên môn kỹ thuật; số giấy phép hoạt động; phạm vi hoạt động chuyên môn và thời gian hoạt động chuyên môn.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 </w:t>
            </w:r>
          </w:p>
        </w:tc>
        <w:tc>
          <w:p/>
          <w:p>
            <w:pPr>
              <w:spacing w:after="0" w:before="0" w:lineRule="auto" w:line="276"/>
              <w:jc w:val="left"/>
            </w:pPr>
            <w:r>
              <w:rPr>
                <w:rFonts w:ascii="Times New Roman" w:hAnsi="Times New Roman" w:cs="Times New Roman" w:eastAsia="Times New Roman"/>
                <w:b w:val="false"/>
                <w:sz w:val="26"/>
              </w:rPr>
              <w:t>Phí : 2.150.000 Đồng</w:t>
              <w:t xml:space="preserve"> (Phòng khám chuyên khoa, Phòng khám liên chuyên khoa, Phòng khám bác sỹ y khoa, Phòng khám răng hàm mặt, Phòng khám dinh dưỡng, Phòng khám y sỹ đa khoa, Cơ sở dịch vụ cận lâm sàng)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Phí : 2.850.000 Đồng</w:t>
              <w:t xml:space="preserve"> (Phòng khám đa khoa, nhà hộ sinh, cơ sở khám bệnh, chữa bệnh y học gia đình)</w:t>
            </w:r>
          </w:p>
          <w:p>
            <w:pPr>
              <w:spacing w:after="0" w:before="0" w:lineRule="auto" w:line="276"/>
              <w:jc w:val="left"/>
            </w:pPr>
            <w:r>
              <w:rPr>
                <w:rFonts w:ascii="Times New Roman" w:hAnsi="Times New Roman" w:cs="Times New Roman" w:eastAsia="Times New Roman"/>
                <w:b w:val="false"/>
                <w:sz w:val="26"/>
              </w:rPr>
              <w:t>Phí : 1.550.000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5.250.000 Đồng</w:t>
              <w:t xml:space="preserve"> (Bệnh viện)</w:t>
            </w:r>
          </w:p>
        </w:tc>
        <w:tc>
          <w:p/>
          <w:p>
            <w:pPr>
              <w:spacing w:after="0" w:before="0" w:lineRule="auto" w:line="276"/>
              <w:jc w:val="left"/>
            </w:pPr>
            <w:r>
              <w:rPr>
                <w:rFonts w:ascii="Times New Roman" w:hAnsi="Times New Roman" w:cs="Times New Roman" w:eastAsia="Times New Roman"/>
                <w:b w:val="false"/>
                <w:sz w:val="26"/>
              </w:rPr>
              <w:t>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 </w:t>
            </w:r>
          </w:p>
        </w:tc>
        <w:tc>
          <w:p/>
          <w:p>
            <w:pPr>
              <w:spacing w:after="0" w:before="0" w:lineRule="auto" w:line="276"/>
              <w:jc w:val="left"/>
            </w:pPr>
            <w:r>
              <w:rPr>
                <w:rFonts w:ascii="Times New Roman" w:hAnsi="Times New Roman" w:cs="Times New Roman" w:eastAsia="Times New Roman"/>
                <w:b w:val="false"/>
                <w:sz w:val="26"/>
              </w:rPr>
              <w:t>Phí : 1.550.000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(Phòng khám chuyên khoa, Phòng khám liên chuyên khoa, Phòng khám bác sỹ y khoa, Phòng khám răng hàm mặt, Phòng khám dinh dưỡng, Phòng khám y sỹ đa khoa, Cơ sở dịch vụ cận lâm sàng)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Phí : 2.850.000 Đồng</w:t>
              <w:t xml:space="preserve"> (Phòng khám đa khoa, nhà hộ sinh, cơ sở khám bệnh, chữa bệnh y học gia đình)</w:t>
            </w:r>
          </w:p>
          <w:p>
            <w:pPr>
              <w:spacing w:after="0" w:before="0" w:lineRule="auto" w:line="276"/>
              <w:jc w:val="left"/>
            </w:pPr>
            <w:r>
              <w:rPr>
                <w:rFonts w:ascii="Times New Roman" w:hAnsi="Times New Roman" w:cs="Times New Roman" w:eastAsia="Times New Roman"/>
                <w:b w:val="false"/>
                <w:sz w:val="26"/>
              </w:rPr>
              <w:t>Phí : 5.250.000 Đồng</w:t>
              <w:t xml:space="preserve"> (Bệnh viện)</w:t>
            </w:r>
          </w:p>
        </w:tc>
        <w:tc>
          <w:p/>
          <w:p>
            <w:pPr>
              <w:spacing w:after="0" w:before="0" w:lineRule="auto" w:line="276"/>
              <w:jc w:val="left"/>
            </w:pPr>
            <w:r>
              <w:rPr>
                <w:rFonts w:ascii="Times New Roman" w:hAnsi="Times New Roman" w:cs="Times New Roman" w:eastAsia="Times New Roman"/>
                <w:b w:val="false"/>
                <w:sz w:val="26"/>
              </w:rPr>
              <w:t>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 </w:t>
            </w:r>
          </w:p>
        </w:tc>
        <w:tc>
          <w:p/>
          <w:p>
            <w:pPr>
              <w:spacing w:after="0" w:before="0" w:lineRule="auto" w:line="276"/>
              <w:jc w:val="left"/>
            </w:pPr>
            <w:r>
              <w:rPr>
                <w:rFonts w:ascii="Times New Roman" w:hAnsi="Times New Roman" w:cs="Times New Roman" w:eastAsia="Times New Roman"/>
                <w:b w:val="false"/>
                <w:sz w:val="26"/>
              </w:rPr>
              <w:t>Phí : 1.550.000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(Phòng khám chuyên khoa, Phòng khám liên chuyên khoa, Phòng khám bác sỹ y khoa, Phòng khám răng hàm mặt, Phòng khám dinh dưỡng, Phòng khám y sỹ đa khoa, Cơ sở dịch vụ cận lâm sàng)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Phí : 2.850.000 Đồng</w:t>
              <w:t xml:space="preserve"> (Phòng khám đa khoa, nhà hộ sinh, cơ sở khám bệnh, chữa bệnh y học gia đình)</w:t>
            </w:r>
          </w:p>
          <w:p>
            <w:pPr>
              <w:spacing w:after="0" w:before="0" w:lineRule="auto" w:line="276"/>
              <w:jc w:val="left"/>
            </w:pPr>
            <w:r>
              <w:rPr>
                <w:rFonts w:ascii="Times New Roman" w:hAnsi="Times New Roman" w:cs="Times New Roman" w:eastAsia="Times New Roman"/>
                <w:b w:val="false"/>
                <w:sz w:val="26"/>
              </w:rPr>
              <w:t>Phí : 5.250.000 Đồng</w:t>
              <w:t xml:space="preserve"> (Bệnh viện)</w:t>
            </w:r>
          </w:p>
        </w:tc>
        <w:tc>
          <w:p/>
          <w:p>
            <w:pPr>
              <w:spacing w:after="0" w:before="0" w:lineRule="auto" w:line="276"/>
              <w:jc w:val="left"/>
            </w:pPr>
            <w:r>
              <w:rPr>
                <w:rFonts w:ascii="Times New Roman" w:hAnsi="Times New Roman" w:cs="Times New Roman" w:eastAsia="Times New Roman"/>
                <w:b w:val="false"/>
                <w:sz w:val="26"/>
              </w:rPr>
              <w:t>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Hồ sơ đề nghị cấp mới giấy phép hoạt động đối với trường hợp quy định tại các điểm a, b, c, d, đ, e khoản 1 Điều 59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phép hành  nghề và giấy xác nhận quá trình hành nghề theo Mẫu 11 Phụ lục I ban hành kèm theo Nghị định số 96/2023/NĐ-CP của người chịu trách nhiệm chuyên môn kỹ thuật của cơ sở khám bệnh, chữa bệnh (không áp dụng đối với trường hợp các giấy tờ này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phép hành  nghề và giấy xác nhận quá trình hành nghề theo Mẫu 11 Phụ lục I ban hành kèm theo Nghị định số 96/2023/NĐ-CP của người phụ trách bộ phận chuyên môn của cơ sở khám bệnh, chữa bệnh (không áp dụng đối với trường hợp các giấy tờ này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11.docx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cơ sở vật chất,  danh mục thiết bị y tế, danh sách nhân sự đáp ứng điều kiện cấp giấy phép hoạt động tương ứng với từng hình thức tổ chức theo Mẫu 08 Phụ lục II ban hành kèm theo Nghị định số 96/2023/NĐ-CP và các giấy tờ chứng minh, xác nhận các kê khai đó</w:t>
            </w:r>
          </w:p>
        </w:tc>
        <w:tc>
          <w:p/>
          <w:p>
            <w:pPr>
              <w:spacing w:after="0" w:before="0" w:lineRule="auto" w:line="276"/>
              <w:jc w:val="left"/>
            </w:pPr>
            <w:r>
              <w:rPr>
                <w:rFonts w:ascii="Times New Roman" w:hAnsi="Times New Roman" w:cs="Times New Roman" w:eastAsia="Times New Roman"/>
                <w:b w:val="false"/>
                <w:sz w:val="26"/>
              </w:rPr>
              <w:t>Mẫu 08 Kê khai cơ sở vật chất.docx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ghi rõ họ tên,  số giấy phép hành nghề của từng người hành nghề đăng ký hành nghề tại cơ sở đó theo Mẫu 01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01 DS đăng ký hành nghề.docx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do cấp có  thẩm quyền phê duyệt quy định về chức năng nhiệm vụ, cơ cấu tổ chức của bệnh viện của nhà nước hoặc điều lệ tổ chức và hoạt động đối với bệnh viện tư nhân theo Mẫu 03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03 điều lệ.docx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đề  nghị cấp lần đầu giấy phép hoạt động cơ sở khám bệnh, chữa bệnh nhân đạo hoặc cơ sở khám bệnh, chữa bệnh không vì mục đích lợi nhuận thì phải có tài liệu chứng minh nguồn tài chính bảo đảm cho hoạt động khám bệnh, chữa bệnh nhân đạo hoặc hoạt động khám bệnh, chữa bệnh không vì mục đích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Hồ sơ đề nghị cấp mới giấy phép hoạt động đối với cơ sở đã được cấp giấy phép hoạt động nhưng đề nghị chuyển sang hoạt động theo mô hình khám bệnh, chữa bệnh nhân đạo hoặc hoạt động theo mô hình không vì mục đích lợi nhuận, không thu chi phí khám bệnh, chữa bệnh của người bệnh theo quy định tại điểm g khoản 1 Điều 59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nguồn tài chính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Cục Phòng bệnh - Bộ Y tế,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trường hợp cấp mới giấy phép hoạt động:
a) Cơ sở khám bệnh, chữa bệnh lần đầu tiên đề nghị cấp giấy phép hoạt động;
b) Cơ sở khám bệnh, chữa bệnh bị thu hồi giấy phép hoạt động, trừ trường hợp quy định tại điểm d khoản 1 Điều 56 của Luật Khám bệnh, chữa bệnh;
c) Cơ sở khám bệnh, chữa bệnh đã được cấp giấy phép hoạt động nhưng thay đổi hình thức tổ chức;
d) Cơ sở khám bệnh, chữa bệnh đã được cấp giấy phép hoạt động nhưng thay đổi địa điểm;
đ) Cơ sở khám bệnh, chữa bệnh đã được cấp giấy phép hoạt động nhưng chia tách, hợp nhất, sáp nhập;
e) Cơ sở khám bệnh, chữa bệnh đã được cấp giấy phép hoạt động nhưng bổ sung thêm cơ sở khám bệnh, chữa bệnh trực thuộc ngoài khuôn viên của cơ sở đã được cấp phép;
g) Cơ sở khám bệnh, chữa bệnh đã được cấp giấy phép hoạt động nhưng đề nghị chuyển sang hoạt động theo mô hình khám bệnh, chữa bệnh nhân đạo hoặc cơ sở khám bệnh, chữa bệnh không vì mục đích lợi nhuận.
2. Cơ sở khám bệnh, chữa bệnh đã được cấp giấy phép hoạt động có thay đổi chủ sở hữu nhưng không thay đổi tên gọi, quy mô, phạm vi hoạt động, địa điểm thì không phải thực hiện thủ tục đề nghị cấp mới giấy phép hoạt động.
3. Đáp ứng theo các điều kiện quy định tại Điều 40 đến Điều 58 Nghị định số 96/2023/NĐ-CP ngày 30 tháng 12 năm 2023 của Chính phủ quy định chi tiết một số điều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2026-04-30T02:54:47Z</dcterms:created>
  <dc:creator>Apache POI</dc:creator>
</cp:coreProperties>
</file>