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1.010091.000.00.00.H41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1934/QĐ-UBND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khám chữa bệnh, trợ cấp tai nạn cho lực lượng xung kích phòng chống thiên tai cấp xã trong trường hợp chưa tham gia bảo hiểm y tế, bảo hiểm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Đê điều và Phòng, chống thiên tai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tham gia lực lượng xung kích phòng chống thiên tai cấp xã hoặc người đại diện hợp pháp lập 01 bộ hồ sơ gửi Ủy ban nhân dân xã.</w:t>
      </w:r>
    </w:p>
    <w:p>
      <w:pPr>
        <w:spacing w:after="0" w:before="0" w:lineRule="auto" w:line="276"/>
        <w:jc w:val="both"/>
      </w:pPr>
      <w:r>
        <w:rPr>
          <w:rFonts w:ascii="Times New Roman" w:hAnsi="Times New Roman" w:cs="Times New Roman" w:eastAsia="Times New Roman"/>
          <w:b w:val="false"/>
          <w:sz w:val="26"/>
        </w:rPr>
        <w:t>Bước 2: Trong thời hạn 10 ngày làm việc, kể từ ngày nhận đơn đề nghị, Ủy ban nhân dân cấp xã lập 01 bộ hồ sơ trình Chủ tịch Ủy ban nhân dân cấp huyện.</w:t>
      </w:r>
    </w:p>
    <w:p>
      <w:pPr>
        <w:spacing w:after="0" w:before="0" w:lineRule="auto" w:line="276"/>
        <w:jc w:val="both"/>
      </w:pPr>
      <w:r>
        <w:rPr>
          <w:rFonts w:ascii="Times New Roman" w:hAnsi="Times New Roman" w:cs="Times New Roman" w:eastAsia="Times New Roman"/>
          <w:b w:val="false"/>
          <w:sz w:val="26"/>
        </w:rPr>
        <w:t>Bước 3: Trong thời hạn 05 ngày làm việc, kể từ ngày nhận được hồ sơ do Chủ tịch Ủy ban nhân dân cấp xã trình, Chủ tịch Ủy ban nhân dân cấp huyện quyết định hỗ trợ kinh phí khám bệnh, chữa bệnh cho người tham gia lực lượng xung kích phòng chống thiên tai cấp xã</w:t>
      </w:r>
    </w:p>
    <w:p>
      <w:pPr>
        <w:spacing w:after="0" w:before="0" w:lineRule="auto" w:line="276"/>
        <w:jc w:val="both"/>
      </w:pPr>
      <w:r>
        <w:rPr>
          <w:rFonts w:ascii="Times New Roman" w:hAnsi="Times New Roman" w:cs="Times New Roman" w:eastAsia="Times New Roman"/>
          <w:b w:val="false"/>
          <w:sz w:val="26"/>
        </w:rPr>
        <w:t>Đối với trường hợp không đủ điều kiện, hóa đơn, giấy tờ theo quy định hoặc không hợp lệ, trong thời hạn 03 ngày làm việc kể từ ngày nhận được hồ sơ đề nghị, cơ quan cấp huyện, xã phải có văn bản hướng dẫn gửi người nộp đơn để bổ sung, hoàn thiện.</w:t>
      </w:r>
    </w:p>
    <w:p>
      <w:pPr>
        <w:spacing w:after="0" w:before="0" w:lineRule="auto" w:line="276"/>
        <w:jc w:val="both"/>
      </w:pPr>
      <w:r>
        <w:rPr>
          <w:rFonts w:ascii="Times New Roman" w:hAnsi="Times New Roman" w:cs="Times New Roman" w:eastAsia="Times New Roman"/>
          <w:b w:val="false"/>
          <w:sz w:val="26"/>
        </w:rPr>
        <w:t>Bước 4: Trong thời hạn 10 ngày làm việc, kể từ ngày có quyết định trợ cấp, Ủy ban nhân dân cấp xã có trách nhiệm thực hiện chi trả kinh phí khám chữa bệnh cho đối tượng được hưởng; việc chi trả bằng hình thức chuyển khoản hoặc qua đường bưu chính hoặc trực tiếp nhận ở cấp xã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25 ngày làm việc, kể từ ngày nhận đủ hồ sơ hợp lệ theo quy định. Cụ thể:
- Ủy ban nhân dân cấp xã tiếp nhận và xử lý hồ sơ thời hạn 10 ngày làm việc
- Ủy ban nhân dân cấp huyện quyết định chi trả trợ cấp thời hạn 05 ngày làm việc
- Ủy ban nhân dân cấp xã giải quyết chi trả trợ cấp thời hạn 10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25 ngày làm việc, kể từ ngày nhận đủ hồ sơ hợp lệ theo quy định. Cụ thể:
- Ủy ban nhân dân cấp xã tiếp nhận và xử lý hồ sơ thời hạn 10 ngày làm việc
- Ủy ban nhân dân cấp huyện quyết định chi trả trợ cấp thời hạn 05 ngày làm việc
- Ủy ban nhân dân cấp xã giải quyết chi trả trợ cấp thời hạn 10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25 ngày làm việc, kể từ ngày nhận đủ hồ sơ hợp lệ theo quy định. Cụ thể:
- Ủy ban nhân dân cấp xã tiếp nhận và xử lý hồ sơ thời hạn 10 ngày làm việc
- Ủy ban nhân dân cấp huyện quyết định chi trả trợ cấp thời hạn 05 ngày làm việc
- Ủy ban nhân dân cấp xã giải quyết chi trả trợ cấp thời hạn 10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Trường hợp hỗ trợ khám chữa bệnh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thanh toán chi phí khám bệnh, chữa bệnh theo mẫu quy định tại Phụ lục VI ban hành kèm theo Nghị định số 66/2021/NĐ-CP ngày 06/7/2021 của Chính phủ. Trong đó thay thế cụm từ “Số Chứng minh nhân dân (Căn cước công dân)” bằng cụm từ “Số Căn cước công dân/Căn cước” và bãi bỏ cụm từ “Địa chỉ thường trú”</w:t>
            </w:r>
          </w:p>
        </w:tc>
        <w:tc>
          <w:p/>
          <w:p>
            <w:pPr>
              <w:spacing w:after="0" w:before="0" w:lineRule="auto" w:line="276"/>
              <w:jc w:val="left"/>
            </w:pPr>
            <w:r>
              <w:rPr>
                <w:rFonts w:ascii="Times New Roman" w:hAnsi="Times New Roman" w:cs="Times New Roman" w:eastAsia="Times New Roman"/>
                <w:b w:val="false"/>
                <w:sz w:val="26"/>
              </w:rPr>
              <w:t>Phlcnthanhtonchiphkhmchabnh.doc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Phiếu xét nghiệm, đơn thuốc, hóa đơn thu tiền, giấy ra viện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Người tham gia lực lượng xung kích phòng chống thiên tai cấp xã hoặc người đại diện hợp pháp gửi hồ sơ về Ủy ban nhân dân cấp xã, thành phần hồ sơ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b) Trường hợp trợ cấp tai nạn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Người tham gia lực lượng xung kích phòng chống thiên tai cấp xã hoặc người đại diện hợp pháp gửi hồ sơ về UBND cấp xã, thành phần hồ sơ bao gồm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Đơn đề nghị trợ cấp tai nạn theo mẫu quy định tại Phụ lục II Nghị định số 53/2026/NĐ-CP ngày 05/02/2026 sửa đổi, bổ sung một số điều của các Nghị định trong lĩnh vực đê điều và phòng, chống thiên tai;</w:t>
            </w:r>
          </w:p>
        </w:tc>
        <w:tc>
          <w:p/>
          <w:p>
            <w:pPr>
              <w:spacing w:after="0" w:before="0" w:lineRule="auto" w:line="276"/>
              <w:jc w:val="left"/>
            </w:pPr>
            <w:r>
              <w:rPr>
                <w:rFonts w:ascii="Times New Roman" w:hAnsi="Times New Roman" w:cs="Times New Roman" w:eastAsia="Times New Roman"/>
                <w:b w:val="false"/>
                <w:sz w:val="26"/>
              </w:rPr>
              <w:t>PhlcIIN53.doc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Giấy ra viện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Trích sao hồ sơ bệnh án hoặc bản sao giấy chứng nhận thương tích do cơ sở y tế nơi đã cấp cứu, điều trị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Biên bản điều tra của cơ quan công an (trường hợp bị tai nạn giao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Uỷ ban Nhân dân cấp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hồ sơ theo một trong các cách thức sau:  Nộp hồ sơ trực tiếp hoặc gửi qua dịch vụ bưu chính đến Bộ phận tiếp nhận và trả kết quả của Ủy ban nhân dân cấp xã;  Hoặc nộp hồ sơ qua dịch vụ công trực tuyến toàn trình trên Hệ thống thông tin giải quyết thủ tục hành chính tỉnh tại địa chỉ: http://dichvucong.nghean.gov.vn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định hỗ trợ chi phí khám bệnh, chữa bệnh, trợ cấp tai nạn cho đối tượng được hưởng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66/2021/NĐ-CP</w:t>
            </w:r>
          </w:p>
        </w:tc>
        <w:tc>
          <w:p/>
          <w:p>
            <w:pPr>
              <w:spacing w:after="0" w:before="0" w:lineRule="auto" w:line="276"/>
              <w:jc w:val="left"/>
            </w:pPr>
            <w:r>
              <w:rPr>
                <w:rFonts w:ascii="Times New Roman" w:hAnsi="Times New Roman" w:cs="Times New Roman" w:eastAsia="Times New Roman"/>
                <w:b w:val="false"/>
                <w:sz w:val="26"/>
              </w:rPr>
              <w:t>Nghị định quy định chi tiết thi hành một số điều của Luật Phòng, chống thiên tai và Luật sửa đổi, bổ sung một số điều của Luật Phòng, chống thiên tai và Luật Đê điều.</w:t>
            </w:r>
          </w:p>
        </w:tc>
        <w:tc>
          <w:p/>
          <w:p>
            <w:pPr>
              <w:spacing w:after="0" w:before="0" w:lineRule="auto" w:line="276"/>
              <w:jc w:val="left"/>
            </w:pPr>
            <w:r>
              <w:rPr>
                <w:rFonts w:ascii="Times New Roman" w:hAnsi="Times New Roman" w:cs="Times New Roman" w:eastAsia="Times New Roman"/>
                <w:b w:val="false"/>
                <w:sz w:val="26"/>
              </w:rPr>
              <w:t>06-07-2021</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tham gia lực lượng xung kích phòng chống thiên tai cấp xã bị ốm đau, tai nạn, bị thương trong thời gian thực hiện các nhiệm vụ phòng, chống thiên tai, tham gia huấn luyện, diễn tập phòng chống thiên tai và các nhiệm vụ khác theo sự điều động của cấp có thẩm quyền. 
- Trường hợp bị ốm đau, bị tại nạn do cố ý tự hủy hoại sức khỏe của bản thân, sử dụng các chất kích thích, chất ma túy, chất gây nghiện thì không được hưởng chế độ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2026-05-14T15:45:11Z</dcterms:created>
  <dc:creator>Apache POI</dc:creator>
</cp:coreProperties>
</file>