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gửi Ủy ban nhân dân cấp xã.
Địa chỉ tiếp nhận: Bộ phận một cửa của UBND cấp xã.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 Bước 2: Chủ tịch Ủy ban nhân dân cấp xã chỉ đạo Ban Chỉ đạo rà soát cấp xã chủ trì, phối hợp với trưởng thôn và rà soát viên thu thập thông tin hộ gia đình, tính điểm, tổng hợp và phân loại hộ gia đình.</w:t>
      </w:r>
    </w:p>
    <w:p>
      <w:pPr>
        <w:spacing w:after="0" w:before="0" w:lineRule="auto" w:line="276"/>
        <w:jc w:val="both"/>
      </w:pPr>
      <w:r>
        <w:rPr>
          <w:rFonts w:ascii="Times New Roman" w:hAnsi="Times New Roman" w:cs="Times New Roman" w:eastAsia="Times New Roman"/>
          <w:b w:val="false"/>
          <w:sz w:val="26"/>
        </w:rPr>
        <w:t>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w:t>
      </w:r>
    </w:p>
    <w:p>
      <w:pPr>
        <w:spacing w:after="0" w:before="0" w:lineRule="auto" w:line="276"/>
        <w:jc w:val="both"/>
      </w:pPr>
      <w:r>
        <w:rPr>
          <w:rFonts w:ascii="Times New Roman" w:hAnsi="Times New Roman" w:cs="Times New Roman" w:eastAsia="Times New Roman"/>
          <w:b w:val="false"/>
          <w:sz w:val="26"/>
        </w:rPr>
        <w:t>d) Bước 4: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w:t>
      </w:r>
    </w:p>
    <w:p>
      <w:pPr>
        <w:spacing w:after="0" w:before="0" w:lineRule="auto" w:line="276"/>
        <w:jc w:val="both"/>
      </w:pPr>
      <w:r>
        <w:rPr>
          <w:rFonts w:ascii="Times New Roman" w:hAnsi="Times New Roman" w:cs="Times New Roman" w:eastAsia="Times New Roman"/>
          <w:b w:val="false"/>
          <w:sz w:val="26"/>
        </w:rPr>
        <w:t>đ) Bước 5: Chủ tịch Ủy ban nhân dân cấp xã ra quyết định công nhận danh sách hộ nghèo, hộ cận nghèo theo Mẫu số 02 tại Phụ lục ban hành kèm theo Quyết định số 24/2021/QĐ-TTg và cấp Giấy chứng nhận cho hộ nghèo, hộ cận nghèo theo Mẫu số 03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2026-05-04T09:43:15Z</dcterms:created>
  <dc:creator>Apache POI</dc:creator>
</cp:coreProperties>
</file>