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1.011609.000.00.00.H18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hộ làm nông nghiệp, lâm nghiệp, ngư nghiệp và diêm nghiệp có mức sống trung bình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Giảm nghèo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Hộ gia đình có Giấy đề nghị xác định hộ có mức sống trung bình theo Mẫu số 01 tại Phụ lục ban hành kèm theo Quyết định số 24/2021/QĐ-TTg gửi Ủy ban nhân dân cấp xã.
b) Bước 2: Chủ tịch Ủy ban nhân dân cấp xã chỉ đạo Ban Chỉ đạo rà soát cấp xã tổ chức xác định thu nhập thông tin, tính điểm của hộ gia đình.
c) Bước 3: Niêm yết, thông báo công khai kết quả tại trụ sở xã trong thời gian 05 ngày làm việc, tổ chức phúc tra trong thời gian 03 ngày làm việc (nếu có khiếu nại).
d) Bước 4: Chủ tịch Ủy ban nhân dân cấp xã quyết định công nhận hộ làm nông nghiệp, lâm nghiệp, ngư nghiệp và diêm nghiệp có mức sống trung bình. Trường hợp không đủ điều kiện theo quy định, Chủ tịch Ủy ban nhân dân cấp xã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bắt đầu rà soát theo quy định tại khoản 2, điều 3 Quyết định số 24/2021/QĐ-TTg ngày 16/7/2021 của Thủ tướng Chính phủ</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bắt đầu rà soát theo quy định tại khoản 2, điều 3 Quyết định số 24/2021/QĐ-TTg ngày 16/7/2021 của Thủ tướng Chính phủ</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bắt đầu rà soát theo quy định tại khoản 2, điều 3 Quyết định số 24/2021/QĐ-TTg ngày 16/7/2021 của Thủ tướng Chính phủ</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xác định hộ có mức sống trung bình theo Mẫu số 01 tại Phụ lục ban hành kèm theo Quyết định số 24/2021/QĐ-TTg</w:t>
            </w:r>
          </w:p>
        </w:tc>
        <w:tc>
          <w:p/>
          <w:p>
            <w:pPr>
              <w:spacing w:after="0" w:before="0" w:lineRule="auto" w:line="276"/>
              <w:jc w:val="left"/>
            </w:pPr>
            <w:r>
              <w:rPr>
                <w:rFonts w:ascii="Times New Roman" w:hAnsi="Times New Roman" w:cs="Times New Roman" w:eastAsia="Times New Roman"/>
                <w:b w:val="false"/>
                <w:sz w:val="26"/>
              </w:rPr>
              <w:t>Mau so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hộ làm nông nghiệp, lâm nghiệp, ngư nghiệp và diêm nghiệp có mức sống trung bình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46/2014/QH13</w:t>
            </w:r>
          </w:p>
        </w:tc>
        <w:tc>
          <w:p/>
          <w:p>
            <w:pPr>
              <w:spacing w:after="0" w:before="0" w:lineRule="auto" w:line="276"/>
              <w:jc w:val="left"/>
            </w:pPr>
            <w:r>
              <w:rPr>
                <w:rFonts w:ascii="Times New Roman" w:hAnsi="Times New Roman" w:cs="Times New Roman" w:eastAsia="Times New Roman"/>
                <w:b w:val="false"/>
                <w:sz w:val="26"/>
              </w:rPr>
              <w:t>46/2014/QH13 Sửa đổi, bổ sung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13-06-2014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146/2018/NĐ-CP</w:t>
            </w:r>
          </w:p>
        </w:tc>
        <w:tc>
          <w:p/>
          <w:p>
            <w:pPr>
              <w:spacing w:after="0" w:before="0" w:lineRule="auto" w:line="276"/>
              <w:jc w:val="left"/>
            </w:pPr>
            <w:r>
              <w:rPr>
                <w:rFonts w:ascii="Times New Roman" w:hAnsi="Times New Roman" w:cs="Times New Roman" w:eastAsia="Times New Roman"/>
                <w:b w:val="false"/>
                <w:sz w:val="26"/>
              </w:rPr>
              <w:t>Nghị định 146/2018/NĐ-CP</w:t>
            </w:r>
          </w:p>
        </w:tc>
        <w:tc>
          <w:p/>
          <w:p>
            <w:pPr>
              <w:spacing w:after="0" w:before="0" w:lineRule="auto" w:line="276"/>
              <w:jc w:val="left"/>
            </w:pPr>
            <w:r>
              <w:rPr>
                <w:rFonts w:ascii="Times New Roman" w:hAnsi="Times New Roman" w:cs="Times New Roman" w:eastAsia="Times New Roman"/>
                <w:b w:val="false"/>
                <w:sz w:val="26"/>
              </w:rPr>
              <w:t>17-10-2018</w:t>
            </w:r>
          </w:p>
        </w:tc>
        <w:tc>
          <w:p/>
        </w:tc>
      </w:tr>
      <w:tr>
        <w:tc>
          <w:p/>
          <w:p>
            <w:pPr>
              <w:spacing w:after="0" w:before="0" w:lineRule="auto" w:line="276"/>
              <w:jc w:val="left"/>
            </w:pPr>
            <w:r>
              <w:rPr>
                <w:rFonts w:ascii="Times New Roman" w:hAnsi="Times New Roman" w:cs="Times New Roman" w:eastAsia="Times New Roman"/>
                <w:b w:val="false"/>
                <w:sz w:val="26"/>
              </w:rPr>
              <w:t>24/2021/QĐ-TTg</w:t>
            </w:r>
          </w:p>
        </w:tc>
        <w:tc>
          <w:p/>
          <w:p>
            <w:pPr>
              <w:spacing w:after="0" w:before="0" w:lineRule="auto" w:line="276"/>
              <w:jc w:val="left"/>
            </w:pPr>
            <w:r>
              <w:rPr>
                <w:rFonts w:ascii="Times New Roman" w:hAnsi="Times New Roman" w:cs="Times New Roman" w:eastAsia="Times New Roman"/>
                <w:b w:val="false"/>
                <w:sz w:val="26"/>
              </w:rPr>
              <w:t>24/2021/QĐ-TTg</w:t>
            </w:r>
          </w:p>
        </w:tc>
        <w:tc>
          <w:p/>
          <w:p>
            <w:pPr>
              <w:spacing w:after="0" w:before="0" w:lineRule="auto" w:line="276"/>
              <w:jc w:val="left"/>
            </w:pPr>
            <w:r>
              <w:rPr>
                <w:rFonts w:ascii="Times New Roman" w:hAnsi="Times New Roman" w:cs="Times New Roman" w:eastAsia="Times New Roman"/>
                <w:b w:val="false"/>
                <w:sz w:val="26"/>
              </w:rPr>
              <w:t>16-07-2021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68/2020/QH14</w:t>
            </w:r>
          </w:p>
        </w:tc>
        <w:tc>
          <w:p/>
          <w:p>
            <w:pPr>
              <w:spacing w:after="0" w:before="0" w:lineRule="auto" w:line="276"/>
              <w:jc w:val="left"/>
            </w:pPr>
            <w:r>
              <w:rPr>
                <w:rFonts w:ascii="Times New Roman" w:hAnsi="Times New Roman" w:cs="Times New Roman" w:eastAsia="Times New Roman"/>
                <w:b w:val="false"/>
                <w:sz w:val="26"/>
              </w:rPr>
              <w:t>Luật Cư trú 2020</w:t>
            </w:r>
          </w:p>
        </w:tc>
        <w:tc>
          <w:p/>
          <w:p>
            <w:pPr>
              <w:spacing w:after="0" w:before="0" w:lineRule="auto" w:line="276"/>
              <w:jc w:val="left"/>
            </w:pPr>
            <w:r>
              <w:rPr>
                <w:rFonts w:ascii="Times New Roman" w:hAnsi="Times New Roman" w:cs="Times New Roman" w:eastAsia="Times New Roman"/>
                <w:b w:val="false"/>
                <w:sz w:val="26"/>
              </w:rPr>
              <w:t>13-11-2020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Thông tư 02/2022/TT-BLĐTBXH</w:t>
            </w:r>
          </w:p>
        </w:tc>
        <w:tc>
          <w:p/>
          <w:p>
            <w:pPr>
              <w:spacing w:after="0" w:before="0" w:lineRule="auto" w:line="276"/>
              <w:jc w:val="left"/>
            </w:pPr>
            <w:r>
              <w:rPr>
                <w:rFonts w:ascii="Times New Roman" w:hAnsi="Times New Roman" w:cs="Times New Roman" w:eastAsia="Times New Roman"/>
                <w:b w:val="false"/>
                <w:sz w:val="26"/>
              </w:rPr>
              <w:t>Sửa đổi, bổ sung một số nội dung của Thông tư số 07/2021/TT-BLĐTBXH ngày 18 tháng 7 năm 2021 của Bộ Lao động - Thương binh và Xã hội hướng dẫn phương pháp rà soát, phân loại hộ nghèo, hộ cận nghèo; xác định thu nhập của hộ làm nông nghiệp, lâm nghiệp, ngư nghiệp, diêm nghiệp có mức sống trung bình giai đoạn 2022-2025 và mẫu biểu báo cáo</w:t>
            </w:r>
          </w:p>
        </w:tc>
        <w:tc>
          <w:p/>
          <w:p>
            <w:pPr>
              <w:spacing w:after="0" w:before="0" w:lineRule="auto" w:line="276"/>
              <w:jc w:val="left"/>
            </w:pPr>
            <w:r>
              <w:rPr>
                <w:rFonts w:ascii="Times New Roman" w:hAnsi="Times New Roman" w:cs="Times New Roman" w:eastAsia="Times New Roman"/>
                <w:b w:val="false"/>
                <w:sz w:val="26"/>
              </w:rPr>
              <w:t>30-03-2022</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Thông tư 07/2021/TT-BLĐTBXH</w:t>
            </w:r>
          </w:p>
        </w:tc>
        <w:tc>
          <w:p/>
          <w:p>
            <w:pPr>
              <w:spacing w:after="0" w:before="0" w:lineRule="auto" w:line="276"/>
              <w:jc w:val="left"/>
            </w:pPr>
            <w:r>
              <w:rPr>
                <w:rFonts w:ascii="Times New Roman" w:hAnsi="Times New Roman" w:cs="Times New Roman" w:eastAsia="Times New Roman"/>
                <w:b w:val="false"/>
                <w:sz w:val="26"/>
              </w:rPr>
              <w:t>Hướng dẫn phương pháp rà soát, phân loại hộ nghèo, hộ cận nghèo; xác định thu nhập của hộ làm nông nghiệp, lâm nghiệp, ngư nghiệp, diêm nghiệp có mức sống trung bình giai đoạn 2022-2025 và mẫu biểu báo cáo</w:t>
            </w:r>
          </w:p>
        </w:tc>
        <w:tc>
          <w:p/>
          <w:p>
            <w:pPr>
              <w:spacing w:after="0" w:before="0" w:lineRule="auto" w:line="276"/>
              <w:jc w:val="left"/>
            </w:pPr>
            <w:r>
              <w:rPr>
                <w:rFonts w:ascii="Times New Roman" w:hAnsi="Times New Roman" w:cs="Times New Roman" w:eastAsia="Times New Roman"/>
                <w:b w:val="false"/>
                <w:sz w:val="26"/>
              </w:rPr>
              <w:t>18-07-2021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2026-05-09T06:40:22Z</dcterms:created>
  <dc:creator>Apache POI</dc:creator>
</cp:coreProperties>
</file>