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Hợp đồng tiếp cận nguồn gen và chia sẻ lợi ích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cá nhân sau khi thực hiện thỏa thuận, ký Hợp đồng tiếp cận nguồn
gen và chia sẻ lợi ích với Bên cung cấp, nộp hồ sơ trực tiếp hoặc gửi qua đường bưu điện tới Trung tâm Phục vụ hành chính công cấp xã để xem xét xác nhận hợp đồng.
b) Bước 2: Kiểm tra xem xét xác nhận Hợp đồng
Ủy ban nhân dân cấp xã nơi có nguồn gen ngoài tự nhiên hoặc nơi đăng ký
trụ sở của Bên cung cấp có trách nhiệm xác nhận Hợp đồng do tổ chức, cá nhân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xác nhận đăng ký tiếp cận nguồn gen được Bộ Nông nghiệp và Môi trường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đã ký giữa các bên liên quan theo Mẫu số 03 ban hành kèm theo Nghị định số 59/2017/NĐ-CP ngày 12 tháng 5 năm 2017 của Chính phủ</w:t>
            </w:r>
          </w:p>
        </w:tc>
        <w:tc>
          <w:p/>
          <w:p>
            <w:pPr>
              <w:spacing w:after="0" w:before="0" w:lineRule="auto" w:line="276"/>
              <w:jc w:val="left"/>
            </w:pPr>
            <w:r>
              <w:rPr>
                <w:rFonts w:ascii="Times New Roman" w:hAnsi="Times New Roman" w:cs="Times New Roman" w:eastAsia="Times New Roman"/>
                <w:b w:val="false"/>
                <w:sz w:val="26"/>
              </w:rPr>
              <w:t>Mauso03_MauHopdongtiepcannguongen.doc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một trong các giấy tờ là hộ chiếu/thẻ Căn cước công dân/thẻ Căn cước/Căn cước điện tử/số định danh cá nhân/số giấy chứng nhận căn cước hoặc giấy tờ khác có dán ảnh và thông tin cá nhân do cơ quan có thẩm quyền cấp, còn giá trị sử dụng để chứng minh về nhân thân của người đề nghị xác nhận Hợp đồng tiếp cận nguồn gen và chia sẻ lợi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vào Hợp đồng tiếp cận nguồn gen và chia sẻ lợi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59/2017/NĐ-CP</w:t>
            </w:r>
          </w:p>
        </w:tc>
        <w:tc>
          <w:p/>
          <w:p>
            <w:pPr>
              <w:spacing w:after="0" w:before="0" w:lineRule="auto" w:line="276"/>
              <w:jc w:val="left"/>
            </w:pPr>
            <w:r>
              <w:rPr>
                <w:rFonts w:ascii="Times New Roman" w:hAnsi="Times New Roman" w:cs="Times New Roman" w:eastAsia="Times New Roman"/>
                <w:b w:val="false"/>
                <w:sz w:val="26"/>
              </w:rPr>
              <w:t>Về quản lý tiếp cận nguồn gen và chia sẻ lợi ích từ việc sử dụng nguồn gen</w:t>
            </w:r>
          </w:p>
        </w:tc>
        <w:tc>
          <w:p/>
          <w:p>
            <w:pPr>
              <w:spacing w:after="0" w:before="0" w:lineRule="auto" w:line="276"/>
              <w:jc w:val="left"/>
            </w:pPr>
            <w:r>
              <w:rPr>
                <w:rFonts w:ascii="Times New Roman" w:hAnsi="Times New Roman" w:cs="Times New Roman" w:eastAsia="Times New Roman"/>
                <w:b w:val="false"/>
                <w:sz w:val="26"/>
              </w:rPr>
              <w:t>12-04-2017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số 22/2023/NĐ-CP ngày 12 tháng 5 năm 2023 của Chính phủ sửa đổi, bổ sung một số điều của các nghị định liên quan đến hoạt động kinh doanh trong lĩnh vực tài nguyên và môi trường</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nghề nghiệp thuộc thẩm quyền giải quyết của UBND tỉnh, Sở Giáo dục và Đào tạo, Phòng Giáo dục và đào tạo, cơ sở giáo dục nghề nghiệp công lập trên địa bàn tỉnh Quảng Bình</w:t>
            </w:r>
          </w:p>
        </w:tc>
        <w:tc>
          <w:p/>
          <w:p>
            <w:pPr>
              <w:spacing w:after="0" w:before="0" w:lineRule="auto" w:line="276"/>
              <w:jc w:val="left"/>
            </w:pPr>
            <w:r>
              <w:rPr>
                <w:rFonts w:ascii="Times New Roman" w:hAnsi="Times New Roman" w:cs="Times New Roman" w:eastAsia="Times New Roman"/>
                <w:b w:val="false"/>
                <w:sz w:val="26"/>
              </w:rPr>
              <w:t>11-04-2025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997/QĐ-UBND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và sửa đổi, bổ sung trong lĩnh vực Bảo tồn thiên nhiên và đa dạng sinh học thuộc thẩm quyền giải quyết của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22-08-2025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đề nghị xác nhận Hợp đồng tiếp cận nguồn gen và chia sẻ lợi ích cung cấp một trong các giấy tờ là hộ chiếu, Chứng minh nhân dân/số thẻ Căn cước công dân/số định danh cá nhân hoặc giấy tờ khác có dán ảnh và thông tin cá nhân do cơ quan có thẩm quyền cấp, còn giá trị sử dụng để chứng minh về nhân thân.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2026-05-02T10:41:53Z</dcterms:created>
  <dc:creator>Apache POI</dc:creator>
</cp:coreProperties>
</file>