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kết quả bầu hòa giải viên đáp ứng yêu cầu quy định tại Điểm a, Điểm b Khoản 3 Điều 8 của Luật hòa giải ở cơ sở, Trưởng ban công tác Mặt trận lập danh sách người được đề nghị công nhận là hòa giải viên kèm theo biên bản kiểm phiếu hoặc biên bản về kết quả biểu quyết bầu hòa giải viên gửi Chủ tịch Ủy ban nhân dân cấp xã. Trong thời hạn 05 ngày làm việc, kể từ ngày nhận được danh sách người được đề nghị công nhận hòa giải viên, Chủ tịch Ủy ban nhân dân cấp xã xem xét, quyết định;
- Trường hợp số người được đề nghị công nhận là hòa giải viên lấy theo kết quả bỏ phiếu từ cao xuống thấp nhiều hơn số lượng hòa giải viên được Chủ tịch Ủy ban nhân dân cấp xã quyết định thì Trưởng ban công tác Mặt trận lập danh sách những người được đề nghị công nhận, trong đó bao gồm những người có số phiếu bằng nhau gửi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được đề nghị công nhận là hòa giải viên (Mẫu số 06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phiếu hoặc biên bản về kết quả biểu quyết bầu hòa giải viên (Mẫu số 01 tại Phụ lục ban hành kèm theo Nghị quyết liên tịch số 01/2014/NQLT-CP-UBTƯMTTQVN trong trường hợp bầu hòa giải viên bằng hình thức biểu quyết công khai; Mẫu số 02 tại Phụ lục ban hành kèm theo Nghị quyết liên tịch số 01/2014/NQLT-CP-UBTƯMTTQVN trong trường hợp bầu hòa giải viên bằng hình thức bỏ phiếu kín; Mẫu số 03 tại Phụ lục ban hành kèm theo Nghị quyết liên tịch số 01/2014/NQLT-CP-UBTƯMTTQVN trong trường hợp bầu hòa giải viên bằng hình thức phát phiếu bầu đến hộ gia đình).</w:t>
            </w:r>
          </w:p>
        </w:tc>
        <w:tc>
          <w:p/>
          <w:p>
            <w:pPr>
              <w:spacing w:after="0" w:before="0" w:lineRule="auto" w:line="276"/>
              <w:jc w:val="left"/>
            </w:pPr>
            <w:r>
              <w:rPr>
                <w:rFonts w:ascii="Times New Roman" w:hAnsi="Times New Roman" w:cs="Times New Roman" w:eastAsia="Times New Roman"/>
                <w:b w:val="false"/>
                <w:sz w:val="26"/>
              </w:rPr>
              <w:t>Mẫu 2.docx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Hòa giải ở cơ sở</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 xml:space="preserve">01/2014/NQLT/CP-UBTƯMTTQVN </w:t>
            </w:r>
          </w:p>
        </w:tc>
        <w:tc>
          <w:p/>
          <w:p>
            <w:pPr>
              <w:spacing w:after="0" w:before="0" w:lineRule="auto" w:line="276"/>
              <w:jc w:val="left"/>
            </w:pPr>
            <w:r>
              <w:rPr>
                <w:rFonts w:ascii="Times New Roman" w:hAnsi="Times New Roman" w:cs="Times New Roman" w:eastAsia="Times New Roman"/>
                <w:b w:val="false"/>
                <w:sz w:val="26"/>
              </w:rPr>
              <w:t>hướng dẫn phối hợp thực hiện một số quy định của pháp luật về hòa giải ở cơ sở</w:t>
            </w:r>
          </w:p>
        </w:tc>
        <w:tc>
          <w:p/>
          <w:p>
            <w:pPr>
              <w:spacing w:after="0" w:before="0" w:lineRule="auto" w:line="276"/>
              <w:jc w:val="left"/>
            </w:pPr>
            <w:r>
              <w:rPr>
                <w:rFonts w:ascii="Times New Roman" w:hAnsi="Times New Roman" w:cs="Times New Roman" w:eastAsia="Times New Roman"/>
                <w:b w:val="false"/>
                <w:sz w:val="26"/>
              </w:rPr>
              <w:t>18-11-2014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đề nghị công nhận là hòa giải viên phải đạt trên 50% đại diện hộ gia đình trong thôn, tổ dân phố đồng 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2026-05-11T11:23:20Z</dcterms:created>
  <dc:creator>Apache POI</dc:creator>
</cp:coreProperties>
</file>