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gửi UBND cấp xã xác nhận 
- Địa chỉ tiếp nhận: Bộ phận một cửa của UBND cấp xã. 
-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w:t>
      </w:r>
    </w:p>
    <w:p>
      <w:pPr>
        <w:spacing w:after="0" w:before="0" w:lineRule="auto" w:line="276"/>
        <w:jc w:val="both"/>
      </w:pPr>
      <w:r>
        <w:rPr>
          <w:rFonts w:ascii="Times New Roman" w:hAnsi="Times New Roman" w:cs="Times New Roman" w:eastAsia="Times New Roman"/>
          <w:b w:val="false"/>
          <w:sz w:val="26"/>
        </w:rPr>
        <w:t>Bước 3: Phòng Nội vụ lập danh sách kèm theo các giấy tờ chuyển Sở Nội vụ tỉnh Quảng Bình;</w:t>
      </w:r>
    </w:p>
    <w:p>
      <w:pPr>
        <w:spacing w:after="0" w:before="0" w:lineRule="auto" w:line="276"/>
        <w:jc w:val="both"/>
      </w:pPr>
      <w:r>
        <w:rPr>
          <w:rFonts w:ascii="Times New Roman" w:hAnsi="Times New Roman" w:cs="Times New Roman" w:eastAsia="Times New Roman"/>
          <w:b w:val="false"/>
          <w:sz w:val="26"/>
        </w:rPr>
        <w:t>Bước 4: Sở Nội vụ: 
- Ghép hồ sơ TNXP đang quản lý cấp thẻ bảo hiểm y tế (nếu có) với bản khai, giấy khai tử để hoàn chỉnh hồ sơ giải quyết mai táng phí; 
- Giám đốc Sở Nội vụ ra quyết định trợ cấp mai táng (Mẫu số 05).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Văn bản 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Văn bản 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Phòng Nội vụ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2026-05-04T10:15:22Z</dcterms:created>
  <dc:creator>Apache POI</dc:creator>
</cp:coreProperties>
</file>