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1.011471.000.00.00.H26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gỗ, thực vật rừng ngoài gỗ loài thông thường thuộc thẩm quyền giải quyết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hoặc tổ chức, cá nhân được chủ rừng ủy quyền có nhu cầu khai thác đối với trường hợp quy định tại điểm đ khoản 1 Điều 6 Thông tư số 26/2022/TT-BNNPTNT do cá nhân, hộ gia đình, cộng đồng dân cư tự đầu tư; khai thác tận dung, tận thu gỗ rừng sản xuất là rừng tự nhiên do cá nhân, hộ gia đình, cộng đồng dân cư quản lý nộp trực tiếp hoặc qua dịch vụ bưu chính hoặc qua môi trường điện tử 01 bộ hồ sơ đến Ủy ban nhân dân cấp huyện. 
Trường hợp nộp hồ sơ qua môi trường điện tử thực hiện theo quy định tại Nghị định số 45/2020/NĐ-CP.</w:t>
      </w:r>
    </w:p>
    <w:p>
      <w:pPr>
        <w:spacing w:after="0" w:before="0" w:lineRule="auto" w:line="276"/>
        <w:jc w:val="both"/>
      </w:pPr>
      <w:r>
        <w:rPr>
          <w:rFonts w:ascii="Times New Roman" w:hAnsi="Times New Roman" w:cs="Times New Roman" w:eastAsia="Times New Roman"/>
          <w:b w:val="false"/>
          <w:sz w:val="26"/>
        </w:rPr>
        <w:t>b) Bước 2: Tiếp nhận hồ sơ
Trường hợp nộp hồ sơ trực tiếp: Ủy ban nhân dân cấp huyện kiểm tra thành phần hồ sơ và trả lời ngay tính hợp lệ của thành phần hồ sơ cho chủ rừng hoặc tổ chức, cá nhân được chủ rừng ủy quyền.
Trường hợp nộp hồ sơ qua dịch vụ bưu chính hoặc qua môi trường điện tử: Trong thời hạn 01 ngày làm việc, kể từ ngày nhận được hồ sơ, Ủy ban nhân dân cấp huyện xem xét tính hợp lệ của thành phần hồ sơ; trường hợp hồ sơ không hợp lệ, thông báo bằng văn bản và nêu rõ lý do.</w:t>
      </w:r>
    </w:p>
    <w:p>
      <w:pPr>
        <w:spacing w:after="0" w:before="0" w:lineRule="auto" w:line="276"/>
        <w:jc w:val="both"/>
      </w:pPr>
      <w:r>
        <w:rPr>
          <w:rFonts w:ascii="Times New Roman" w:hAnsi="Times New Roman" w:cs="Times New Roman" w:eastAsia="Times New Roman"/>
          <w:b w:val="false"/>
          <w:sz w:val="26"/>
        </w:rPr>
        <w:t>c) Bước 3: Thẩm định và trả kết quả
Trong thời hạn 10 ngày kể từ ngày nhận được hồ sơ hợp lệ, Ủy ban nhân dân cấp huyện phê duyệt Phương án khai thác lâm sản và trả kết quả cho chủ rừng hoặc tổ chức, cá nhân được chủ rừng ủy quyền;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Phương án khai thác theo Mẫu số 08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đối với trường hợp khai thác tận dụng gỗ, thực vật rừng ngoài gỗ: + Đối với khai thác tận dụng trên diện tích giải phóng mặt bằng khi chuyển mục đích sử dụng rừng sang mục đích khác: quyết định chuyển mục đích sử dụng rừng sang mục đích khác được cấp có thẩm quyền phê duyệt; + Đối với khai thác tận dụng trên diện tích rừng được sử dụng để xây dựng kết cấu hạ tầng phục vụ bảo vệ và phát triển rừng: quyết định phê duyệt và hồ sơ dự án xây dựng công trình kết cấu hạ tầng phục vụ bảo vệ, phát triển rừng được cấp có thẩm quyền phê duyệt; + Đối với khai thác tận dụng trên diện tích tạm sử dụng rừng để thi công các công trình tạm phục vụ thi công dự án: quyết định phê duyệt và phương án tạm sử dụng rừng để thi công công trình, dự án được cấp có thẩm quyền phê duyệt; + Đối với khai thác tận dụng trong quá trình thực hiện biện pháp lâm sinh: quyết định phê duyệt dự án lâm sinh hoặc tài liệu chứng minh việc thực hiện các biện pháp lâm sinh được cấp có thẩm quyền phê duyệt; + Đối với khai thác tận dụng trên diện tích rừng trồng thanh lý: quyết định thanh lý kèm theo phương án thanh lý rừng trồng được cấp có thẩm quyền phê duyệt;  + Đối với khai thác tận dụng trong phạm vi hành lang bảo vệ an toàn đường dây dẫn điện trên không điện áp cao theo quy định pháp luật về điện lực: Biên bản kiểm tra hiện trường cây rừng chặt, tỉa, hạ độ cao trong hành lang bảo vệ an toàn đường dây dẫn điện theo Mẫu số 10 Phụ lục II ban hành kèm theo Thông tư số 26/2025/TT-BNNMT; + Đối với khai thác phục vụ nhiệm vụ đào tạo, nghiên cứu khoa học và công nghệ trong rừng đặc dụng, rừng phòng hộ; rừng sản xuất do nhà nước đại diện chủ sở hữu; thu thập mẫu vật trong rừng đặc dụng: quyết định phê duyệt kèm theo tài liệu dự án, nhiệm vụ, chương trình đào tạo, nghiên cứu khoa học của cấp có thẩm quyền.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Điểm  phục vụ  hành chính  công cấp  xã;  (2). Các Chi  nhánh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khai thác gỗ và thực vật rừng ngoài gỗ theo Mẫu số 11 Phụ lục II ban hành kèm theo Thông tư số 26/2025/TT-BNNMT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2026-05-28T02:44:10Z</dcterms:created>
  <dc:creator>Apache POI</dc:creator>
</cp:coreProperties>
</file>