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Chậm nhất 05 ngày làm việc, kể từ ngày nhận được hồ sơ của Sở Giao thông vận tải, Ủy ban nhân dân cấp tỉnh ra quyết định công bố; trường hợp không giải quyết phải có văn bản trả lời và nêu rõ lý do.</w:t>
      </w:r>
    </w:p>
    <w:p>
      <w:pPr>
        <w:spacing w:after="0" w:before="0" w:lineRule="auto" w:line="276"/>
        <w:jc w:val="both"/>
      </w:pPr>
      <w:r>
        <w:rPr>
          <w:rFonts w:ascii="Times New Roman" w:hAnsi="Times New Roman" w:cs="Times New Roman" w:eastAsia="Times New Roman"/>
          <w:b w:val="false"/>
          <w:sz w:val="26"/>
        </w:rPr>
        <w:t>Chậm nhất 05 ngày làm việc, kể từ ngày nhận được hồ sơ hợp lệ, Sở Giao thông vận tải báo cáo kết quả thẩm định trình Ủy ban nhân dân cấp tỉnh xem xét công bố mở vùng hoạt động; trường hợp hồ sơ chưa hợp lệ, trong thời hạn 02 ngày làm việc, kể từ ngày nhận được hồ sơ, Sở Giao thông vận tải hướng dẫn tổ chức, cá nhân hoàn thiện hồ sơ theo quy định.</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Công bố mở, cho phép hoạt động tại vùng nước khác không thuộc vùng  nước trên tuyến đường thủy nội địa, vùng nước cảng biển hoặc khu vực hàng hải (sau đây gọi là vùng 1), được đánh dấu, xác định vị trí bằng phao hoặc cờ hiệu có màu sắc dễ quan sát đến Sở Giao thông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05 ngày làm việc, kể từ ngày nhận được hồ sơ hợp lệ, Ủy ban nhân dân cấp huyện ra quyết định công bố, cho phép hoạt động; trường hợp không giải quyết phải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05 ngày làm việc, kể từ ngày nhận được hồ sơ hợp lệ, Ủy ban nhân dân cấp huyện ra quyết định công bố, cho phép hoạt động; trường hợp không giải quyết phải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Chậm nhất 05 ngày làm việc, kể từ ngày nhận được hồ sơ hợp lệ, Ủy ban nhân dân cấp huyện ra quyết định công bố, cho phép hoạt động; trường hợp không giải quyết phải có văn bản trả lời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hoặc bản sao điện tử quyết định phê duyệt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bản vẽ hoàn công công trình, bao gồm cả hải đồ hoặc bản đồ thể hiện vị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không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2026-05-17T10:02:05Z</dcterms:created>
  <dc:creator>Apache POI</dc:creator>
</cp:coreProperties>
</file>