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hồ sơ đến Cơ quan đăng ký phương tiện lần đầu.</w:t>
      </w:r>
    </w:p>
    <w:p>
      <w:pPr>
        <w:spacing w:after="0" w:before="0" w:lineRule="auto" w:line="276"/>
        <w:jc w:val="both"/>
      </w:pPr>
      <w:r>
        <w:rPr>
          <w:rFonts w:ascii="Times New Roman" w:hAnsi="Times New Roman" w:cs="Times New Roman" w:eastAsia="Times New Roman"/>
          <w:b w:val="false"/>
          <w:sz w:val="26"/>
        </w:rPr>
        <w:t>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w:t>
      </w:r>
    </w:p>
    <w:p>
      <w:pPr>
        <w:spacing w:after="0" w:before="0" w:lineRule="auto" w:line="276"/>
        <w:jc w:val="both"/>
      </w:pPr>
      <w:r>
        <w:rPr>
          <w:rFonts w:ascii="Times New Roman" w:hAnsi="Times New Roman" w:cs="Times New Roman" w:eastAsia="Times New Roman"/>
          <w:b w:val="false"/>
          <w:sz w:val="26"/>
        </w:rPr>
        <w:t>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trường hợp hồ sơ không hợp lệ thì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 xml:space="preserve"> Cơ quan đăng ký phương tiện thu hồi Giấy chứng nhận đăng ký đã cấp trước đó, tiêu hủy theo quy định đối với các trường hợp thay đổi tên phương tiện, thay đổi thông số kỹ thuật, thay đổi chủ sở hữu phương tiện.</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đó.Cơ quan đăng ký nơi chủ phương tiện đề nghị đăng ký phương tiện,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2026-05-17T09:59:59Z</dcterms:created>
  <dc:creator>Apache POI</dc:creator>
</cp:coreProperties>
</file>