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hoạt động vui chơi, giải trí dưới nước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xml:space="preserve"> Nộp hồ sơ TTHC:</w:t>
      </w:r>
    </w:p>
    <w:p>
      <w:pPr>
        <w:spacing w:after="0" w:before="0" w:lineRule="auto" w:line="276"/>
        <w:jc w:val="both"/>
      </w:pPr>
      <w:r>
        <w:rPr>
          <w:rFonts w:ascii="Times New Roman" w:hAnsi="Times New Roman" w:cs="Times New Roman" w:eastAsia="Times New Roman"/>
          <w:b w:val="false"/>
          <w:sz w:val="26"/>
        </w:rPr>
        <w:t>Tổ chức, cá nhân nộp hồ sơ đến ủy ban nhân dân cấp tỉnh hoặc Sở Giao thông vận tải, Ủy ban nhân dân cấp huyện, Ủy ban nhân dân cấp xã khi được phân công, phân cấp (sau đây gọi là cơ quan đăng ký).</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trường hợp hồ sơ không hợp lệ thì hướng dẫn người nộp hoàn thiện hồ sơ theo quy định;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hồ sơ hợp lệ, cơ quan đăng ký phương tiện cấp Giấy chứng nhận đăng ký phương tiện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03 ngày làm việc, kể từ ngày nhận được hồ sơ hợp lệ, cơ quan đăng ký phương tiện cấp Giấy chứng nhận đăng ký phương tiện cho chủ phương tiện.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03 ngày làm việc, kể từ ngày nhận được hồ sơ hợp lệ, cơ quan đăng ký phương tiện cấp Giấy chứng nhận đăng ký phương tiện cho chủ phương tiện.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03 ngày làm việc, kể từ ngày nhận được hồ sơ hợp lệ, cơ quan đăng ký phương tiện cấp Giấy chứng nhận đăng ký phương tiện cho chủ phương tiện.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 khi nộp hồ sơ gồm bản chính các loại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hoặc tờ khai phương tiện nhập khẩu theo quy định của pháp luật đối với phương tiện được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quyền sở hữu phương tiện: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chủ phương tiện đồng thời là chủ cơ sở đóng mới, hoán cải, sửa chữa và phục hồi phương tiện được phép hoạt động theo quy định của pháp luật, khi thực hiện đăng ký phương tiện không phải xuất trình Giấy tờ chứng minh quyền sở hữu phương tiện: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điện tử hoặc bản sao điện tử)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2026-05-17T10:00:40Z</dcterms:created>
  <dc:creator>Apache POI</dc:creator>
</cp:coreProperties>
</file>