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Ủy ban nhân dân cấp xã nơi thường trú kèm bản sao được chứng thực từ quyết định cấp giấy chứng nhận và trợ cấp, phụ cấp ưu đãi người có công.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07 ngày làm việc, có trách nhiệm kiểm tra, xác minh nếu đủ điều kiện thì có văn bản kèm các giấy tờ gửi Sở Lao động - Thương binh và Xã hội nơi quản lý hồ sơ người có công.</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do Bộ Lao động - Thương binh và Xã hội quản lý.</w:t>
      </w:r>
    </w:p>
    <w:p>
      <w:pPr>
        <w:spacing w:after="0" w:before="0" w:lineRule="auto" w:line="276"/>
        <w:jc w:val="both"/>
      </w:pPr>
      <w:r>
        <w:rPr>
          <w:rFonts w:ascii="Times New Roman" w:hAnsi="Times New Roman" w:cs="Times New Roman" w:eastAsia="Times New Roman"/>
          <w:b w:val="false"/>
          <w:sz w:val="26"/>
        </w:rPr>
        <w:t>Bước 5: Ủy ban nhân dân cấp tỉnh trong thời gian 12 ngày kể từ ngày nhận đủ giấy tờ, có văn bản đề nghị Bộ Lao động - Thương binh và Xã hội kèm giấy tờ theo quy định tại khoản 1, khoản 2 Điều 113 Nghị định số 131/2021/NĐ-CP.</w:t>
      </w:r>
    </w:p>
    <w:p>
      <w:pPr>
        <w:spacing w:after="0" w:before="0" w:lineRule="auto" w:line="276"/>
        <w:jc w:val="both"/>
      </w:pPr>
      <w:r>
        <w:rPr>
          <w:rFonts w:ascii="Times New Roman" w:hAnsi="Times New Roman" w:cs="Times New Roman" w:eastAsia="Times New Roman"/>
          <w:b w:val="false"/>
          <w:sz w:val="26"/>
        </w:rPr>
        <w:t>Bước 6: Bộ Lao động - Thương binh và Xã hội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Trị, 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9, đường Quang Trung, TP Đồng Hới,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2026-05-04T09:43:14Z</dcterms:created>
  <dc:creator>Apache POI</dc:creator>
</cp:coreProperties>
</file>