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tổ chức, cá nhân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công bố lại đủ điều kiện cung cấp dịch vụ cai nghiện ma túy tự nguyện tại gia đình, cộng đồng gửi 01 bộ hồ sơ theo quy định tại Khoản 1 Điều 19 Nghị định số 116/2021/NĐ-CP đến Bộ phận một cửa của UBND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Địa chỉ tiếp nhận: Bộ phận một cửa của UBND cấp huyện.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UBND huyện tiếp nhận hồ sơ trong giờ làm việc, nếu chưa hợp lệ phải cấp ngay phiếu hướng dẫn cho người hồ sơ.</w:t>
      </w:r>
    </w:p>
    <w:p>
      <w:pPr>
        <w:spacing w:after="0" w:before="0" w:lineRule="auto" w:line="276"/>
        <w:jc w:val="both"/>
      </w:pPr>
      <w:r>
        <w:rPr>
          <w:rFonts w:ascii="Times New Roman" w:hAnsi="Times New Roman" w:cs="Times New Roman" w:eastAsia="Times New Roman"/>
          <w:b w:val="false"/>
          <w:sz w:val="26"/>
        </w:rPr>
        <w:t>Bước 3: Chủ tịch UBND cấp huyện có trách nhiệm tổ chức thẩm định hồ sơ, thẩm định các điều kiện công bố lại.</w:t>
      </w:r>
    </w:p>
    <w:p>
      <w:pPr>
        <w:spacing w:after="0" w:before="0" w:lineRule="auto" w:line="276"/>
        <w:jc w:val="both"/>
      </w:pPr>
      <w:r>
        <w:rPr>
          <w:rFonts w:ascii="Times New Roman" w:hAnsi="Times New Roman" w:cs="Times New Roman" w:eastAsia="Times New Roman"/>
          <w:b w:val="false"/>
          <w:sz w:val="26"/>
        </w:rPr>
        <w:t>Bước 4: Trong thời hạn 10 (mười) ngày làm việc, kể từ ngày nhận được hồ sơ hợp lệ, Chủ tịch UBND cấp huyện thẩm định và công bố lại tổ chức, cá nhân đủ điều kiện cung cấp dịch vụ cai nghiện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 kèm theo các văn bằng, chứng chỉ đối với trường hợp thay đổi người đại diện theo pháp luật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bảo đảm cơ sở vật chất tại địa điểm cung cấp dịch vụ mới quy định tại Khoản 2 Điều 16 Nghị định số 116/2021/NĐ-CP đối với trường hợp thay đổi địa điểm cung cấp dịch vụ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báo cáo kết quả khắc phục việc đình chỉ cung cấp dịch vụ đối với trường hợp quy định tại điểm b Khoản 1 Điều 19 Nghị định 116/2021/NĐ-CP.</w:t>
            </w:r>
          </w:p>
        </w:tc>
        <w:tc>
          <w:p/>
          <w:p>
            <w:pPr>
              <w:spacing w:after="0" w:before="0" w:lineRule="auto" w:line="276"/>
              <w:jc w:val="left"/>
            </w:pPr>
            <w:r>
              <w:rPr>
                <w:rFonts w:ascii="Times New Roman" w:hAnsi="Times New Roman" w:cs="Times New Roman" w:eastAsia="Times New Roman"/>
                <w:b w:val="false"/>
                <w:sz w:val="26"/>
              </w:rPr>
              <w:t>Mau so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Thay đổi người đại diện theo pháp luật của cơ sở cung cấp dịch vụ; thay đổi địa điểm cung cấp dịch vụ;
b) Hết thời hạn đình chỉ cung cấp dịch vụ cai nghiện ma túy tự nguyện theo quyết định của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2026-05-02T10:22:07Z</dcterms:created>
  <dc:creator>Apache POI</dc:creator>
</cp:coreProperties>
</file>