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1.010938.H50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1678/QĐ-UBND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tổ chức, cá nhân đủ điều kiện cung cấp dịch vụ cai nghiện ma túy tự nguyện tại gia đình, cộng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tệ nạn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đề nghị công bố đủ điều kiện cung cấp dịch vụ cai nghiện ma túy tự nguyện tại gia đình, cộng đồng gửi 01 bộ hồ sơ theo quy định tại Khoản 1 Điều 17 Nghị định số 116/2021/NĐ-CP đến Bộ phận một cửa của UBND cấp huyện nơi tổ chức đóng trụ sở hoặc nơi cá nhân cư trú. Trường hợp gửi hồ sơ theo phương thức điện tử, tổ chức, cá nhân có trách nhiệm lưu giữ toàn bộ bản gốc của hồ sơ và chịu trách nhiệm trước pháp luật về tính chính xác, trung thực của hồ sơ.
Địa chỉ tiếp nhận: Bộ phận một cửa của UBND cấp huyện.
Thời gian tiếp nhận hồ sơ và trả kết quả: Vào giờ hành chính của tất cả các ngày trong tuần (trừ các ngày lễ, tết).</w:t>
      </w:r>
    </w:p>
    <w:p>
      <w:pPr>
        <w:spacing w:after="0" w:before="0" w:lineRule="auto" w:line="276"/>
        <w:jc w:val="both"/>
      </w:pPr>
      <w:r>
        <w:rPr>
          <w:rFonts w:ascii="Times New Roman" w:hAnsi="Times New Roman" w:cs="Times New Roman" w:eastAsia="Times New Roman"/>
          <w:b w:val="false"/>
          <w:sz w:val="26"/>
        </w:rPr>
        <w:t>Bước 2: UBND huyện tiếp nhận hồ sơ trong giờ làm việc, nếu chưa hợp lệ phải cấp ngay phiếu hướng dẫn cho người hồ sơ.</w:t>
      </w:r>
    </w:p>
    <w:p>
      <w:pPr>
        <w:spacing w:after="0" w:before="0" w:lineRule="auto" w:line="276"/>
        <w:jc w:val="both"/>
      </w:pPr>
      <w:r>
        <w:rPr>
          <w:rFonts w:ascii="Times New Roman" w:hAnsi="Times New Roman" w:cs="Times New Roman" w:eastAsia="Times New Roman"/>
          <w:b w:val="false"/>
          <w:sz w:val="26"/>
        </w:rPr>
        <w:t>Bước 3: Chủ tịch UBND cấp huyện có trách nhiệm tổ chức thẩm định hồ sơ, thẩm định các điều kiện công bố.</w:t>
      </w:r>
    </w:p>
    <w:p>
      <w:pPr>
        <w:spacing w:after="0" w:before="0" w:lineRule="auto" w:line="276"/>
        <w:jc w:val="both"/>
      </w:pPr>
      <w:r>
        <w:rPr>
          <w:rFonts w:ascii="Times New Roman" w:hAnsi="Times New Roman" w:cs="Times New Roman" w:eastAsia="Times New Roman"/>
          <w:b w:val="false"/>
          <w:sz w:val="26"/>
        </w:rPr>
        <w:t>Bước 4: Trong thời hạn 10 (mười) ngày làm việc, kể từ ngày nhận được hồ sơ đăng ký hợp lệ, Chủ tịch UBND cấp huyện tổ chức thẩm định và công bố tổ chức, cá nhân đủ điều kiện cung cấp dịch vụ cai nghiện ma túy tự nguyện tại gia đình, cộng đồng. Trường hợp không đủ điều kiện công bố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công bố đủ điều kiện cung cấp dịch vụ cai nghiện ma túy tự nguyện tại gia đình, cộng đồng của tổ chức, cá nhân đề nghị theo Mẫu số 13 Phụ lục II Nghị định số 116/2021/NĐ-CP.</w:t>
            </w:r>
          </w:p>
        </w:tc>
        <w:tc>
          <w:p/>
          <w:p>
            <w:pPr>
              <w:spacing w:after="0" w:before="0" w:lineRule="auto" w:line="276"/>
              <w:jc w:val="left"/>
            </w:pPr>
            <w:r>
              <w:rPr>
                <w:rFonts w:ascii="Times New Roman" w:hAnsi="Times New Roman" w:cs="Times New Roman" w:eastAsia="Times New Roman"/>
                <w:b w:val="false"/>
                <w:sz w:val="26"/>
              </w:rPr>
              <w:t>Mau so 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quyết định thành lập, cho phép thành lập hoặc giấy chứng nhận đăng ký doanh nghiệp (đối với tổ chức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Tài liệu chứng minh bảo đảm đủ các điều kiện cơ sở vật chất, trang thiết bị cung cấp dịch vụ theo quy định tại Khoản 2 Điều 16 Nghị định số 116/2021/NĐ-CP.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nhân viên của cơ sở cai nghiện ma túy/cơ sở cung cấp dịch vụ cai nghiện ma túy tự nguyện (Mẫu số 03 Phụ lục II ban hành kèm theo Nghị định số 116/2021/NĐ-CP).</w:t>
            </w:r>
          </w:p>
        </w:tc>
        <w:tc>
          <w:p/>
          <w:p>
            <w:pPr>
              <w:spacing w:after="0" w:before="0" w:lineRule="auto" w:line="276"/>
              <w:jc w:val="left"/>
            </w:pPr>
            <w:r>
              <w:rPr>
                <w:rFonts w:ascii="Times New Roman" w:hAnsi="Times New Roman" w:cs="Times New Roman" w:eastAsia="Times New Roman"/>
                <w:b w:val="false"/>
                <w:sz w:val="26"/>
              </w:rPr>
              <w:t>Mau so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- 01 bản sao văn bằng, chứng chỉ, phiếu lý lịch tư pháp được cấp không quá 03 tháng tại thời điểm nộp hồ sơ của từng nhân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lý lịch tóm tắt của người đứng đầu hoặc người đại diện theo pháp luật của cơ sở cung cấp dịch vụ cai nghiện ma túy tự nguyện theo Mẫu số 04 Phụ lục II Nghị định số 116/2021/NĐ-CP.</w:t>
            </w:r>
          </w:p>
        </w:tc>
        <w:tc>
          <w:p/>
          <w:p>
            <w:pPr>
              <w:spacing w:after="0" w:before="0" w:lineRule="auto" w:line="276"/>
              <w:jc w:val="left"/>
            </w:pPr>
            <w:r>
              <w:rPr>
                <w:rFonts w:ascii="Times New Roman" w:hAnsi="Times New Roman" w:cs="Times New Roman" w:eastAsia="Times New Roman"/>
                <w:b w:val="false"/>
                <w:sz w:val="26"/>
              </w:rPr>
              <w:t>Mau so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dự kiến quy trình cung cấp dịch vụ cai nghiện ma túy tự nguyện tại gia đình, cộng đồng.</w:t>
            </w:r>
          </w:p>
        </w:tc>
        <w:tc>
          <w:p/>
          <w:p>
            <w:pPr>
              <w:spacing w:after="0" w:before="0" w:lineRule="auto" w:line="276"/>
              <w:jc w:val="left"/>
            </w:pPr>
            <w:r>
              <w:rPr>
                <w:rFonts w:ascii="Times New Roman" w:hAnsi="Times New Roman" w:cs="Times New Roman" w:eastAsia="Times New Roman"/>
                <w:b w:val="false"/>
                <w:sz w:val="26"/>
              </w:rPr>
              <w:t>Mau so 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 thị xã, thành phố - tỉnh Quảng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huyện, thị xã, thành phố - tỉnh Quảng Bình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huyện công bố (công bố lại) cơ sở đủ điều kiện cung cấp dịch vụ cai nghiện ma túy tự nguyện tại gia đình, cộng đồng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73/2021/QH14</w:t>
            </w:r>
          </w:p>
        </w:tc>
        <w:tc>
          <w:p/>
          <w:p>
            <w:pPr>
              <w:spacing w:after="0" w:before="0" w:lineRule="auto" w:line="276"/>
              <w:jc w:val="left"/>
            </w:pPr>
            <w:r>
              <w:rPr>
                <w:rFonts w:ascii="Times New Roman" w:hAnsi="Times New Roman" w:cs="Times New Roman" w:eastAsia="Times New Roman"/>
                <w:b w:val="false"/>
                <w:sz w:val="26"/>
              </w:rPr>
              <w:t>Luật Phòng, chống ma túy số 73/2021/QH14</w:t>
            </w:r>
          </w:p>
        </w:tc>
        <w:tc>
          <w:p/>
          <w:p>
            <w:pPr>
              <w:spacing w:after="0" w:before="0" w:lineRule="auto" w:line="276"/>
              <w:jc w:val="left"/>
            </w:pPr>
            <w:r>
              <w:rPr>
                <w:rFonts w:ascii="Times New Roman" w:hAnsi="Times New Roman" w:cs="Times New Roman" w:eastAsia="Times New Roman"/>
                <w:b w:val="false"/>
                <w:sz w:val="26"/>
              </w:rPr>
              <w:t>30-03-2021</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116/2021/NĐ-CP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PHÒNG, CHỐNG MA TÚY, LUẬT XỬ LÝ VI PHẠM HÀNH CHÍNH VỀ CAI NGHIỆN MA TÚY VÀ QUẢN LÝ SAU CAI NGHIỆN MA TÚY</w:t>
            </w:r>
          </w:p>
        </w:tc>
        <w:tc>
          <w:p/>
          <w:p>
            <w:pPr>
              <w:spacing w:after="0" w:before="0" w:lineRule="auto" w:line="276"/>
              <w:jc w:val="left"/>
            </w:pPr>
            <w:r>
              <w:rPr>
                <w:rFonts w:ascii="Times New Roman" w:hAnsi="Times New Roman" w:cs="Times New Roman" w:eastAsia="Times New Roman"/>
                <w:b w:val="false"/>
                <w:sz w:val="26"/>
              </w:rPr>
              <w:t>21-12-2021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Yêu cầu về pháp lý:
Được thành lập, tổ chức, hoạt động theo quy định của pháp luật; cá nhân không trong thời gian bị truy cứu trách nhiệm hình sự, thời gian chấp hành bản án hình sự của tòa án; không trong thời hạn cấm hành nghề hoặc công việc.
b) Yêu cầu về cơ sở vật chất, trang thiết bị:
- Có cơ sở vật chất để thực hiện việc tiếp nhận, cung cấp dịch vụ cai nghiện theo phạm vi dịch vụ đăng ký. Trường hợp cung cấp dịch vụ nội trú thì cơ sở phải đáp ứng các điều kiện quy định tại điểm b Khoản 2 và Khoản 4 Điều 6 Nghị định số 116/2021/NĐ-CP;
- Có trang thiết bị để thực hiện các dịch vụ cai nghiện theo quy định tại Mục A Phụ lục I kèm theo Nghị định số 116/2021/NĐ-CP.
c) Yêu cầu về nhân sự:
- Có ít nhất 01 người chịu trách nhiệm chính thực hiện việc cung cấp dịch vụ, có trình độ chuyên môn, ngành nghề đào tạo phù hợp;
- Nhân sự phải đáp ứng điều kiện, tiêu chuẩn theo quy định tại Khoản 2 Điều 8 Nghị định số 116/2021/NĐ-CP.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2026-05-02T10:22:05Z</dcterms:created>
  <dc:creator>Apache POI</dc:creator>
</cp:coreProperties>
</file>