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thanh niên xung phong thời kỳ chống Pháp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lập bản khai thanh niên xung phong từ trần kèm theo giấy khai tử;
Bước 2: Ủy ban nhân dân cấp xã xác nhận vào bản khai của từng người; chuyển bản khai kèm giấy khai tử và một trong những giấy tờ (bản sao có công chứng) xác nhận là thanh niên xung phong quy định tại điểm a Khoản 1 Điều 3 Thông tư số 24/2009/TT-BLĐTBXH.
Bước 3: Phòng Lao động - Thương binh và Xã hội lập danh sách kèm theo các giấy tờ chuyển UBND cấp huyện;
Bước 4: UBND cấp huyện:
- Ghép hồ sơ thanh niên xung phong đang quản lý cấp thẻ bảo hiểm y tế (nếu có) với bản khai, giấy khai tử để hoàn chỉnh hồ sơ giải quyết mai táng phí;
- Chủ tịch UBND cấp huyện ra quyết định trợ cấp mai táng (Mẫu số 05).</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10 ngày làm việc;
- UBND cấp huyện: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10 ngày làm việc;
- UBND cấp huyện: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10 ngày làm việc;
- UBND cấp huyện: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Thanh niên xung phong chết từ ngày Quyết định số 170/2008/QĐ-TTg đến ngày Thông tư số 24/2009/TT-BLĐTBXH có hiệu lực thi hành và thanh niên xung phong không hưởng bảo hiểm y tế theo Quyết định số 170/2008/QĐ-TTg. - Giấy khai tử do Ủy ban nhân dân cấp xã cấp. - Bản khai của người hoặc tổ chức lo mai táng đối với thanh niên xung phong đã chết theo Mẫu số 24 tại Phụ lục ban hành kèm theo Thông tư 08/2023/TT-BLĐTBXH, kèm một trong những giấy tờ xác nhận là thanh niên xung phong quy định tại điểm a Khoản 1 Điều 3 Thông tư số 24/2009/TT-BLĐTBXH:  + Thẻ đội viên;  + Giấy chứng nhận hoàn thành nhiệm vụ ở thanh niên xung phong;  + Giấy khen trong thời kỳ tham gia thanh niên xung phong;  + Lý lịch cán bộ, đảng viên có ghi là thanh niên xung phong.  Trường hợp không có giấy tờ nêu trên thì phải có giấy chứng nhận (bản chính) là thanh niên xung phong hoàn thành nhiệm vụ trong kháng chiến chống Pháp do Tỉnh, Thành đoàn nơi đối tượng thường trú cấp, dựa trên xác nhận của Hội (hoặc Ban Liên lạc) Cựu thanh niên xung phong tỉnh, thành phố trực thuộc Trung ương (gọi tắt là cấp tỉnh) theo Mẫu số 21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24.docx</w:t>
            </w:r>
          </w:p>
          <w:p>
            <w:pPr>
              <w:spacing w:after="0" w:before="0" w:lineRule="auto" w:line="276"/>
              <w:jc w:val="left"/>
            </w:pPr>
            <w:r>
              <w:rPr>
                <w:rFonts w:ascii="Times New Roman" w:hAnsi="Times New Roman" w:cs="Times New Roman" w:eastAsia="Times New Roman"/>
                <w:b w:val="false"/>
                <w:sz w:val="26"/>
              </w:rPr>
              <w:t>Mau so 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Thanh niên xung phong đang hưởng bảo hiểm y tế theo Quyết định số 170/2008/QĐ-TTg chết: - Giấy khai tử do Ủy ban nhân dân cấp xã cấp. - Bản khai của người hoặc tổ chức lo mai táng đối với thanh niên xung phong đã chết theo Mẫu số 23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trợ cấp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26/2005/PL-UBTVQH11 </w:t>
            </w:r>
          </w:p>
        </w:tc>
        <w:tc>
          <w:p/>
          <w:p>
            <w:pPr>
              <w:spacing w:after="0" w:before="0" w:lineRule="auto" w:line="276"/>
              <w:jc w:val="left"/>
            </w:pPr>
            <w:r>
              <w:rPr>
                <w:rFonts w:ascii="Times New Roman" w:hAnsi="Times New Roman" w:cs="Times New Roman" w:eastAsia="Times New Roman"/>
                <w:b w:val="false"/>
                <w:sz w:val="26"/>
              </w:rPr>
              <w:t>26/2005/PL-UBTVQH11 -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24/2009/TT-BLĐTBXH</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170/2008/QĐ-TTg ngày 18/12/2008 của Thủ tướng Chính phủ về 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10-07-2009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170/2008/QĐ-TTg</w:t>
            </w:r>
          </w:p>
        </w:tc>
        <w:tc>
          <w:p/>
          <w:p>
            <w:pPr>
              <w:spacing w:after="0" w:before="0" w:lineRule="auto" w:line="276"/>
              <w:jc w:val="left"/>
            </w:pPr>
            <w:r>
              <w:rPr>
                <w:rFonts w:ascii="Times New Roman" w:hAnsi="Times New Roman" w:cs="Times New Roman" w:eastAsia="Times New Roman"/>
                <w:b w:val="false"/>
                <w:sz w:val="26"/>
              </w:rPr>
              <w:t>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18-12-2008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2026-05-25T20:39:58Z</dcterms:created>
  <dc:creator>Apache POI</dc:creator>
</cp:coreProperties>
</file>