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1.010830.H50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441/QĐ-UBND..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Di chuyển hài cốt liệt sĩ đang an táng ngoài nghĩa trang liệt sĩ về an táng tại nghĩa trang liệt sĩ theo nguyện vọng của đại diện thân nhân hoặc người hưởng trợ cấp thờ cúng liệt sĩ</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Người có công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a.1 Đối với trường hợp chưa được hỗ trợ</w:t>
      </w:r>
    </w:p>
    <w:p>
      <w:pPr>
        <w:spacing w:after="0" w:before="0" w:lineRule="auto" w:line="276"/>
        <w:jc w:val="both"/>
      </w:pPr>
      <w:r>
        <w:rPr>
          <w:rFonts w:ascii="Times New Roman" w:hAnsi="Times New Roman" w:cs="Times New Roman" w:eastAsia="Times New Roman"/>
          <w:b w:val="false"/>
          <w:sz w:val="26"/>
        </w:rPr>
        <w:t>Bước 1: Đại diện thân nhân liệt sĩ hoặc người hưởng trợ cấp thờ cúng liệt sĩ gửi đơn đề nghị di chuyển hài cốt liệt sĩ theo quy định tại Mẫu số 32 Phụ lục I Nghị định số 131/2021/NĐ- CP đến Sở Nội vụ nơi quản lý hồ sơ gốc.
Trường hợp mộ liệt sĩ được cơ quan chức năng bàn giao cho gia đình quản lý thì kèm theo bản sao được chứng thực từ biên bản bàn giao hài cốt liệt sĩ.
Trường hợp thân nhân liệt sĩ ủy quyền di chuyển hài cốt liệt sĩ thì kèm theo văn bản ủy quyền.
Bước 2: Sở Nội vụ nơi quản lý hồ sơ gốc trong thời gian 03 ngày làm việc sau khi nhận được đơn và giấy tờ, có trách nhiệm kiểm tra, cấp giấy giới thiệu di chuyển hài cốt liệt sĩ theo Mẫu số 43 Phụ lục I Nghị định số 131/2021/NĐ- CP.
Bước 3: Đại diện thân nhân liệt sĩ hoặc người hưởng trợ cấp thờ cúng liệt sĩ có trách nhiệm thông báo đến Ủy ban nhân dân cấp xã nơi quản lý mộ về việc di chuyển hài cốt liệt sĩ.
Bước 4: Ủy ban nhân dân cấp xã nơi quản lý mộ liệt sĩ trong thời gian 01 ngày làm việc kể từ ngày nhận được thông báo từ đại diện thân nhân liệt sĩ hoặc người hưởng trợ cấp thờ cúng liệt sĩ, có trách nhiệm lập phiếu báo di chuyển hài cốt liệt sĩ theo Mẫu số 94 Phụ lục I Nghị định số 131/2021/NĐ- CP gửi Sở Nội vụ nơi quản lý hồ sơ gốc liệt sĩ và nơi quản lý mộ liệt sĩ. Trường hợp hài cốt liệt sĩ không di chuyển về địa phương đang quản lý hồ sơ thì đồng thời gửi Sở, Ủy ban nhân dân cấp xã nơi đón nhận hài cốt liệt sĩ.
Bước 5: Ủy ban nhân dân cấp xã nơi đón nhận hài cốt liệt sĩ trong thời gian 01 ngày làm việc kể từ ngày tiếp nhận giấy giới thiệu di chuyển hài cốt liệt sĩ, có trách nhiệm:
Lập biên bản bàn giao hài cốt liệt sĩ; tổ chức an táng hài cốt liệt sĩ vào nghĩa trang liệt sĩ; có văn bản báo cáo Sở Nội vụ nơi đón nhận hài cốt liệt sĩ kèm giấy giới thiệu và biên bản bàn giao hài cốt liệt sĩ.
Chi hỗ trợ tiền cất bốc hài cốt liệt sĩ, tiền đi lại và tiền ăn theo khoảng cách từ nơi di chuyển đến nghĩa trang liệt sĩ nơi đón nhận hài cốt liệt sĩ. Mức hỗ trợ theo quy định tại khoản 1 Điều 10 Nghị định số 75/2021/NĐ-CP ngày 24/7/2021 của Chính phủ.
Có văn bản gửi Sở Nội vụ nơi đón nhận hài cốt liệt sĩ và nơi quản lý hồ sơ gốc liệt sĩ kèm biên bản bàn giao hài cốt liệt sĩ.
Bước 6: Sở Nội vụ nơi đón nhận hài cốt liệt sĩ trong thời gian 02 ngày làm việc kể từ ngày tiếp nhận được phiếu báo di chuyển và biên bản bàn giao hài cốt liệt sĩ, có trách nhiệm cập nhật thông tin vào cơ sở dữ liệu quốc gia về liệt sĩ; cấp giấy báo tin mộ liệt sĩ theo Mẫu số 103 Phụ lục I Nghị định số 131/2021/NĐ- CP.
Sở Nội vụ nơi quản lý hồ sơ gốc liệt sĩ trong thời gian 01 ngày làm việc kể từ ngày nhận đủ các giấy tờ theo quy định, có trách nhiệm lưu phiếu báo di chuyển hài cốt liệt sĩ và biên bản bàn giao hài cốt liệt sĩ vào hồ sơ liệt sĩ.</w:t>
      </w:r>
    </w:p>
    <w:p>
      <w:pPr>
        <w:shd w:val="clear" w:color="auto" w:fill="F2F6F9"/>
        <w:spacing w:after="0" w:before="120" w:lineRule="auto" w:line="276"/>
        <w:jc w:val="both"/>
      </w:pPr>
      <w:r>
        <w:rPr>
          <w:rFonts w:ascii="Times New Roman" w:hAnsi="Times New Roman" w:cs="Times New Roman" w:eastAsia="Times New Roman"/>
          <w:b w:val="true"/>
          <w:sz w:val="26"/>
        </w:rPr>
        <w:t>a.2 Đối với trường hợp đã được hỗ trợ</w:t>
      </w:r>
    </w:p>
    <w:p>
      <w:pPr>
        <w:spacing w:after="0" w:before="0" w:lineRule="auto" w:line="276"/>
        <w:jc w:val="both"/>
      </w:pPr>
      <w:r>
        <w:rPr>
          <w:rFonts w:ascii="Times New Roman" w:hAnsi="Times New Roman" w:cs="Times New Roman" w:eastAsia="Times New Roman"/>
          <w:b w:val="false"/>
          <w:sz w:val="26"/>
        </w:rPr>
        <w:t>Bước 1: Đại diện thân nhân liệt sĩ hoặc người hưởng trợ cấp thờ cúng liệt sĩ thực hiện theo quy định tại điểm a khoản 1 Điều 38 Nghị định số 129/2025/NĐ-CP ngày 11 tháng 6 năm 2025.
Bước 2: Sở Nội vụ nơi quản lý hồ sơ gốc; đại diện thân nhân liệt sĩ hoặc người hưởng trợ cấp thờ cúng liệt sĩ; Ủy ban nhân dân cấp xã nơi quản lý mộ liệt sĩ; Ủy ban nhân dân cấp xã nơi đón nhận hài cốt liệt sĩ thực hiện theo trách nhiệm được quy định tại các điểm b, c, d, đ khoản 1 Điều 38 Nghị định số 129/2025/NĐ-CP ngày 11/6/2025 quy định về phân định thẩm quyền của chính quyền địa phương 02 cấp trong lĩnh vực quản lý nhà nước của Bộ Nội vụ.
Bước 3: Ủy ban nhân dân cấp xã nơi đón nhận hài cốt liệt sĩ trong thời gian 01 ngày làm việc kể từ ngày nhận được các giấy tờ có văn bản gửi Sở Nội vụ nơi đón nhận hài cốt liệt sĩ và nơi quản lý hồ sơ gốc liệt sĩ kèm biên bản bàn giao hài cốt liệt sĩ.
Sở Nội vụ nơi đón nhận hài cốt liệt sĩ; Sở Nội vụ nơi quản lý hồ sơ gốc liệt sĩ thực hiện theo trách nhiệm được quy định tại các điểm e, g khoản 1 Điều 38 Nghị định số 129/2025/NĐ-CP ngày 11/6/2025 quy định về phân định thẩm quyền của chính quyền địa phương 02 cấp trong lĩnh vực quản lý nhà nước của Bộ Nội vụ.</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09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Đối với trường hợp chưa được hỗ trợ: 8 ngày làm việc kể từ ngày tiếp nhận đủ giấy tờ theo quy định.
- Đối với trường hợp đã được hỗ trợ: 9 ngày làm việc kể từ ngày tiếp nhận đủ giấy tờ theo quy định.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09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Đối với trường hợp chưa được hỗ trợ: 8 ngày làm việc kể từ ngày tiếp nhận đủ giấy tờ theo quy định.
- Đối với trường hợp đã được hỗ trợ: 9 ngày làm việc kể từ ngày tiếp nhận đủ giấy tờ theo quy định.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đề nghị di chuyển hài cốt liệt sĩ theo Mẫu số 32 Phụ lục I Nghị định số 131/2021/NĐ-CP</w:t>
            </w:r>
          </w:p>
        </w:tc>
        <w:tc>
          <w:p/>
          <w:p>
            <w:pPr>
              <w:spacing w:after="0" w:before="0" w:lineRule="auto" w:line="276"/>
              <w:jc w:val="left"/>
            </w:pPr>
            <w:r>
              <w:rPr>
                <w:rFonts w:ascii="Times New Roman" w:hAnsi="Times New Roman" w:cs="Times New Roman" w:eastAsia="Times New Roman"/>
                <w:b w:val="false"/>
                <w:sz w:val="26"/>
              </w:rPr>
              <w:t>Mauso32_ND131_2021.docx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sao được chứng thực từ biên bản bàn giao hài cốt liệt sĩ đối với trường hợp mộ liệt sĩ được cơ quan chức năng bàn giao cho gia đình quản lý.</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Văn bản ủy quyền đối với trường hợp thân nhân liệt sĩ ủy quyền di chuyển hài cốt liệt sĩ.</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Nội vụ - tỉnh Quảng Trị, UBND cấp xã - tỉnh Quảng Trị</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Sở Nội vụ - tỉnh Quảng Trị</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tỉnh Quảng Trị. - Cơ sở 1: Số 09 đường Quang Trung - phường Đồng Hới - tỉnh Quảng Trị; - Cơ sở 2: 22 Trần Hưng Đạo, phường Đông Hà, tỉnh Quảng Trị.</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Thực hiện di chuyển hài cốt liệt sĩ đang an táng ngoài nghĩa trang liệt sĩ về an táng tại nghĩa trang liệt sĩ.</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Nghị định số 131/2021/NĐ-CP</w:t>
            </w:r>
          </w:p>
        </w:tc>
        <w:tc>
          <w:p/>
          <w:p>
            <w:pPr>
              <w:spacing w:after="0" w:before="0" w:lineRule="auto" w:line="276"/>
              <w:jc w:val="left"/>
            </w:pPr>
            <w:r>
              <w:rPr>
                <w:rFonts w:ascii="Times New Roman" w:hAnsi="Times New Roman" w:cs="Times New Roman" w:eastAsia="Times New Roman"/>
                <w:b w:val="false"/>
                <w:sz w:val="26"/>
              </w:rPr>
              <w:t>QUY ĐỊNH CHI TIẾT VÀ BIỆN PHÁP THI HÀNH PHÁP LỆNH ƯU ĐÃI NGƯỜI CÓ CÔNG VỚI CÁCH MẠNG</w:t>
            </w:r>
          </w:p>
        </w:tc>
        <w:tc>
          <w:p/>
          <w:p>
            <w:pPr>
              <w:spacing w:after="0" w:before="0" w:lineRule="auto" w:line="276"/>
              <w:jc w:val="left"/>
            </w:pPr>
            <w:r>
              <w:rPr>
                <w:rFonts w:ascii="Times New Roman" w:hAnsi="Times New Roman" w:cs="Times New Roman" w:eastAsia="Times New Roman"/>
                <w:b w:val="false"/>
                <w:sz w:val="26"/>
              </w:rPr>
              <w:t>30-12-2021</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Pháp lệnh số: 02/2020/UBTVQH14</w:t>
            </w:r>
          </w:p>
        </w:tc>
        <w:tc>
          <w:p/>
          <w:p>
            <w:pPr>
              <w:spacing w:after="0" w:before="0" w:lineRule="auto" w:line="276"/>
              <w:jc w:val="left"/>
            </w:pPr>
            <w:r>
              <w:rPr>
                <w:rFonts w:ascii="Times New Roman" w:hAnsi="Times New Roman" w:cs="Times New Roman" w:eastAsia="Times New Roman"/>
                <w:b w:val="false"/>
                <w:sz w:val="26"/>
              </w:rPr>
              <w:t>ƯU ĐÃI NGƯỜI CÓ CÔNG VỚI CÁCH MẠNG</w:t>
            </w:r>
          </w:p>
        </w:tc>
        <w:tc>
          <w:p/>
          <w:p>
            <w:pPr>
              <w:spacing w:after="0" w:before="0" w:lineRule="auto" w:line="276"/>
              <w:jc w:val="left"/>
            </w:pPr>
            <w:r>
              <w:rPr>
                <w:rFonts w:ascii="Times New Roman" w:hAnsi="Times New Roman" w:cs="Times New Roman" w:eastAsia="Times New Roman"/>
                <w:b w:val="false"/>
                <w:sz w:val="26"/>
              </w:rPr>
              <w:t>09-12-2020</w:t>
            </w:r>
          </w:p>
        </w:tc>
        <w:tc>
          <w:p/>
          <w:p>
            <w:pPr>
              <w:spacing w:after="0" w:before="0" w:lineRule="auto" w:line="276"/>
              <w:jc w:val="left"/>
            </w:pPr>
            <w:r>
              <w:rPr>
                <w:rFonts w:ascii="Times New Roman" w:hAnsi="Times New Roman" w:cs="Times New Roman" w:eastAsia="Times New Roman"/>
                <w:b w:val="false"/>
                <w:sz w:val="26"/>
              </w:rPr>
              <w:t>Ủy ban thường vụ quốc hội</w:t>
            </w:r>
          </w:p>
        </w:tc>
      </w:tr>
      <w:tr>
        <w:tc>
          <w:p/>
          <w:p>
            <w:pPr>
              <w:spacing w:after="0" w:before="0" w:lineRule="auto" w:line="276"/>
              <w:jc w:val="left"/>
            </w:pPr>
            <w:r>
              <w:rPr>
                <w:rFonts w:ascii="Times New Roman" w:hAnsi="Times New Roman" w:cs="Times New Roman" w:eastAsia="Times New Roman"/>
                <w:b w:val="false"/>
                <w:sz w:val="26"/>
              </w:rPr>
              <w:t>129/2025/NĐ-CP</w:t>
            </w:r>
          </w:p>
        </w:tc>
        <w:tc>
          <w:p/>
          <w:p>
            <w:pPr>
              <w:spacing w:after="0" w:before="0" w:lineRule="auto" w:line="276"/>
              <w:jc w:val="left"/>
            </w:pPr>
            <w:r>
              <w:rPr>
                <w:rFonts w:ascii="Times New Roman" w:hAnsi="Times New Roman" w:cs="Times New Roman" w:eastAsia="Times New Roman"/>
                <w:b w:val="false"/>
                <w:sz w:val="26"/>
              </w:rPr>
              <w:t>Quy định về phân định thẩm quyền của chính quyền địa phương 02 cấp trong lĩnh vực quản lý nhà nước của Bộ Nội vụ</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441/QĐ-UBND</w:t>
            </w:r>
          </w:p>
        </w:tc>
        <w:tc>
          <w:p/>
          <w:p>
            <w:pPr>
              <w:spacing w:after="0" w:before="0" w:lineRule="auto" w:line="276"/>
              <w:jc w:val="left"/>
            </w:pPr>
            <w:r>
              <w:rPr>
                <w:rFonts w:ascii="Times New Roman" w:hAnsi="Times New Roman" w:cs="Times New Roman" w:eastAsia="Times New Roman"/>
                <w:b w:val="false"/>
                <w:sz w:val="26"/>
              </w:rPr>
              <w:t>Công bố Danh mục thủ tục hành chính mới ban hành, được sửa đổi, bổ sung hoặc bị bãi bỏ trong lĩnh vực Người có công thuộc thẩm quyền giải quyết của Sở Nội vụ và UBND cấp xã trên địa bàn tỉnh Quảng Trị</w:t>
            </w:r>
          </w:p>
        </w:tc>
        <w:tc>
          <w:p/>
          <w:p>
            <w:pPr>
              <w:spacing w:after="0" w:before="0" w:lineRule="auto" w:line="276"/>
              <w:jc w:val="left"/>
            </w:pPr>
            <w:r>
              <w:rPr>
                <w:rFonts w:ascii="Times New Roman" w:hAnsi="Times New Roman" w:cs="Times New Roman" w:eastAsia="Times New Roman"/>
                <w:b w:val="false"/>
                <w:sz w:val="26"/>
              </w:rPr>
              <w:t>01-08-2025</w:t>
            </w:r>
          </w:p>
        </w:tc>
        <w:tc>
          <w:p/>
          <w:p>
            <w:pPr>
              <w:spacing w:after="0" w:before="0" w:lineRule="auto" w:line="276"/>
              <w:jc w:val="left"/>
            </w:pPr>
            <w:r>
              <w:rPr>
                <w:rFonts w:ascii="Times New Roman" w:hAnsi="Times New Roman" w:cs="Times New Roman" w:eastAsia="Times New Roman"/>
                <w:b w:val="false"/>
                <w:sz w:val="26"/>
              </w:rPr>
              <w:t>UBND tỉnh Quảng Trị</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k.1 Yêu cầu
-	Thân nhân liệt sĩ, người được thân nhân liệt sĩ ủy quyền, người hưởng trợ cấp thờ cúng liệt sĩ (tối đa 03 người) được hỗ trợ di chuyển hài cốt liệt sĩ.
-	Hỗ trợ di chuyển hài cốt liệt sĩ theo nguyện vọng của đại diện thân nhân liệt sĩ hoặc người hưởng trợ cấp thờ cúng liệt sĩ: tiền cất bốc và di chuyển hài cốt liệt sĩ; tiền đi lại và tiền ăn theo khoảng cách từ nơi di chuyển đến nghĩa trang liệt sĩ nơi đón nhận hài cốt liệt sĩ.
-	Chỉ hỗ trợ một lần khi di chuyển hài cốt liệt sĩ.
k.2. Điều kiện
        Chỉ áp dụng việc di chuyển hài cốt liệt sĩ đối với các trường hợp mộ liệt sĩ sau:
-	Mộ liệt sĩ đang an táng ngoài nghĩa trang liệt sĩ nhưng có biên bản bàn giao hài cốt liệt sĩ của cơ quan có thẩm quyền, nay đưa vào an táng trong nghĩa trang liệt sĩ.
-	Mộ của thương binh chết do vết thương tái phát được công nhận là liệt sĩ nay đưa vào an táng trong nghĩa trang liệt sĩ.</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2026-05-02T09:15:30Z</dcterms:created>
  <dc:creator>Apache POI</dc:creator>
</cp:coreProperties>
</file>