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1.002662.H50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nhiệm vụ, nhiệm vụ điều chỉnh quy hoạch chi tiết của dự án đầu tư xây dựng công trình theo hình thức kinh doanh thuộc thẩm quyền phê duyệt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thực hiện dự án đầu tư xây dựng nộp hồ sơ nhiệm vụ, nhiệm vụ điều chỉnh quy hoạch chi tiết (sau đây gọi là khách hàng) cho Phòng Quản lý Đô thị thành phố, thị xã; Phòng Kinh tế và Hạ tầng các huyện (sau đây gọi là Phòng chuyên môn cấp huyện) tại Bộ phận một cửa của UBND các huyện, thị xã, thành phố (sau đây gọi là UBND cấp huyện). 
Thời gian nhận hồ sơ và trả kết quả vào giờ hành chính các ngày làm việc trong tuần (trừ ngày lễ, tết).
Phòng chuyên môn cấp huyện có trách nhiệm hướng dẫn, cung cấp thông tin liên quan đến hồ sơ khi có yêu cầu của khách hàng.</w:t>
      </w:r>
    </w:p>
    <w:p>
      <w:pPr>
        <w:spacing w:after="0" w:before="0" w:lineRule="auto" w:line="276"/>
        <w:jc w:val="both"/>
      </w:pPr>
      <w:r>
        <w:rPr>
          <w:rFonts w:ascii="Times New Roman" w:hAnsi="Times New Roman" w:cs="Times New Roman" w:eastAsia="Times New Roman"/>
          <w:b w:val="false"/>
          <w:sz w:val="26"/>
        </w:rPr>
        <w:t>Bước 2: Phòng chuyên môn cấp huyện tiếp nhận hồ sơ; kiểm tra hồ sơ; ghi giấy biên nhận đối với trường hợp hồ sơ đáp ứng theo quy định hoặc hướng dẫn để khách hàng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Bước 3: Phòng chuyên môn cấp huyện căn cứ các quy định hiện hành để tổ chức thẩm định.
- Trường hợp hồ sơ không đủ điều kiện (do có các tài liệu còn thiếu, các tài liệu không đúng theo quy định hoặc không đúng với thực tế): Phòng chuyên môn cấp huyện thông báo một lần bằng văn bản cho khách hàng bổ sung, hoàn chỉnh hồ sơ.
- Trường hợp hồ sơ đủ điều kiện: Phòng chuyên môn cấp huyện tổng hợp hồ sơ, ra văn bản báo cáo thẩm định.</w:t>
      </w:r>
    </w:p>
    <w:p>
      <w:pPr>
        <w:spacing w:after="0" w:before="0" w:lineRule="auto" w:line="276"/>
        <w:jc w:val="both"/>
      </w:pPr>
      <w:r>
        <w:rPr>
          <w:rFonts w:ascii="Times New Roman" w:hAnsi="Times New Roman" w:cs="Times New Roman" w:eastAsia="Times New Roman"/>
          <w:b w:val="false"/>
          <w:sz w:val="26"/>
        </w:rPr>
        <w:t>Bước 4: Phòng chuyên môn cấp huyện chuyển hồ sơ, kết quả cho Bộ phận một cửa của UBND cấp huyện.</w:t>
      </w:r>
    </w:p>
    <w:p>
      <w:pPr>
        <w:spacing w:after="0" w:before="0" w:lineRule="auto" w:line="276"/>
        <w:jc w:val="both"/>
      </w:pPr>
      <w:r>
        <w:rPr>
          <w:rFonts w:ascii="Times New Roman" w:hAnsi="Times New Roman" w:cs="Times New Roman" w:eastAsia="Times New Roman"/>
          <w:b w:val="false"/>
          <w:sz w:val="26"/>
        </w:rPr>
        <w:t>Bước 5: Khách hàng đến Bộ phận một cửa của UBND cấp huyện nộp lệ phí và nhận kết quả phê duyệt theo thời hạn ghi trong giấy biên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(Tính bằng 20% so với chi phí lập nhiệm vụ quy hoạch theo quy định tại Thông tư số 20/2019/TT-BXD)</w:t>
              <w:br/>
              <w:t>File đính kèm: BXD_05_2017-TT-BXD_05042017.signed.pdf</w:t>
            </w:r>
          </w:p>
        </w:tc>
        <w:tc>
          <w:p/>
          <w:p>
            <w:pPr>
              <w:spacing w:after="0" w:before="0" w:lineRule="auto" w:line="276"/>
              <w:jc w:val="left"/>
            </w:pPr>
            <w:r>
              <w:rPr>
                <w:rFonts w:ascii="Times New Roman" w:hAnsi="Times New Roman" w:cs="Times New Roman" w:eastAsia="Times New Roman"/>
                <w:b w:val="false"/>
                <w:sz w:val="26"/>
              </w:rPr>
              <w:t>- Đối với quy hoạch đô thị: 20 ngày làm việc kể từ ngày nhận đủ hồ sơ hợp lệ.
- Đối với quy hoạch xây dựng khu chức năng đặc thù, điểm dân cư nông thôn: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(Tính bằng 20% so với chi phí lập nhiệm vụ quy hoạch theo quy định tại Thông tư số 20/2019/TT-BXD)</w:t>
            </w:r>
          </w:p>
        </w:tc>
        <w:tc>
          <w:p/>
          <w:p>
            <w:pPr>
              <w:spacing w:after="0" w:before="0" w:lineRule="auto" w:line="276"/>
              <w:jc w:val="left"/>
            </w:pPr>
            <w:r>
              <w:rPr>
                <w:rFonts w:ascii="Times New Roman" w:hAnsi="Times New Roman" w:cs="Times New Roman" w:eastAsia="Times New Roman"/>
                <w:b w:val="false"/>
                <w:sz w:val="26"/>
              </w:rPr>
              <w:t>- Đối với quy hoạch đô thị: 20 ngày làm việc kể từ ngày nhận đủ hồ sơ hợp lệ.
- Đối với quy hoạch xây dựng khu chức năng đặc thù, điểm dân cư nông thôn: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tiết(theo quy định của Luật Quy hoạch đô thị và Nghị định số 37/2010/NĐ-CP),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thuyết minh nội dung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Dự thảo quyết định phê duyệt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trình đề nghị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tiếtxây dựng khu chức năng đặc thù, điểm dân cư nông thôn (theo quy định của Luật Xây dựng và Nghị định số 44/2015/NĐ-CP),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(2), (3), (4), (5)</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ý kiến của các cơ quan, tổ chức và cộng đồng dân cư về nội dung nhiệm vụ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pháp nhân và hồ sơ năng lực của tổ chức tư vấn lập quy hoạch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Quản lý Đô thị cấp thị xã, thành phố - tỉnh Quảng Bình, Phòng Kinh tế và Hạ tầng cấp huyện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các huyện, thị xã,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quy hoạch chi tiết của dự án đầu tư xây dựng công trình theo hình thức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44/2015/NĐ-CP</w:t>
            </w:r>
          </w:p>
        </w:tc>
        <w:tc>
          <w:p/>
          <w:p>
            <w:pPr>
              <w:spacing w:after="0" w:before="0" w:lineRule="auto" w:line="276"/>
              <w:jc w:val="left"/>
            </w:pPr>
            <w:r>
              <w:rPr>
                <w:rFonts w:ascii="Times New Roman" w:hAnsi="Times New Roman" w:cs="Times New Roman" w:eastAsia="Times New Roman"/>
                <w:b w:val="false"/>
                <w:sz w:val="26"/>
              </w:rPr>
              <w:t>Nghị định 44/2015/NĐ-CP</w:t>
            </w:r>
          </w:p>
        </w:tc>
        <w:tc>
          <w:p/>
          <w:p>
            <w:pPr>
              <w:spacing w:after="0" w:before="0" w:lineRule="auto" w:line="276"/>
              <w:jc w:val="left"/>
            </w:pPr>
            <w:r>
              <w:rPr>
                <w:rFonts w:ascii="Times New Roman" w:hAnsi="Times New Roman" w:cs="Times New Roman" w:eastAsia="Times New Roman"/>
                <w:b w:val="false"/>
                <w:sz w:val="26"/>
              </w:rPr>
              <w:t>06-05-2015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r>
        <w:tc>
          <w:p/>
          <w:p>
            <w:pPr>
              <w:spacing w:after="0" w:before="0" w:lineRule="auto" w:line="276"/>
              <w:jc w:val="left"/>
            </w:pPr>
            <w:r>
              <w:rPr>
                <w:rFonts w:ascii="Times New Roman" w:hAnsi="Times New Roman" w:cs="Times New Roman" w:eastAsia="Times New Roman"/>
                <w:b w:val="false"/>
                <w:sz w:val="26"/>
              </w:rPr>
              <w:t>72/2019/NĐ-CP</w:t>
            </w:r>
          </w:p>
        </w:tc>
        <w:tc>
          <w:p/>
          <w:p>
            <w:pPr>
              <w:spacing w:after="0" w:before="0" w:lineRule="auto" w:line="276"/>
              <w:jc w:val="left"/>
            </w:pPr>
            <w:r>
              <w:rPr>
                <w:rFonts w:ascii="Times New Roman" w:hAnsi="Times New Roman" w:cs="Times New Roman" w:eastAsia="Times New Roman"/>
                <w:b w:val="false"/>
                <w:sz w:val="26"/>
              </w:rPr>
              <w:t>Nghị định 72/2019/NĐ-CP</w:t>
            </w:r>
          </w:p>
        </w:tc>
        <w:tc>
          <w:p/>
          <w:p>
            <w:pPr>
              <w:spacing w:after="0" w:before="0" w:lineRule="auto" w:line="276"/>
              <w:jc w:val="left"/>
            </w:pPr>
            <w:r>
              <w:rPr>
                <w:rFonts w:ascii="Times New Roman" w:hAnsi="Times New Roman" w:cs="Times New Roman" w:eastAsia="Times New Roman"/>
                <w:b w:val="false"/>
                <w:sz w:val="26"/>
              </w:rPr>
              <w:t>30-08-2019</w:t>
            </w:r>
          </w:p>
        </w:tc>
        <w:tc>
          <w:p/>
        </w:tc>
      </w:tr>
      <w:tr>
        <w:tc>
          <w:p/>
          <w:p>
            <w:pPr>
              <w:spacing w:after="0" w:before="0" w:lineRule="auto" w:line="276"/>
              <w:jc w:val="left"/>
            </w:pPr>
            <w:r>
              <w:rPr>
                <w:rFonts w:ascii="Times New Roman" w:hAnsi="Times New Roman" w:cs="Times New Roman" w:eastAsia="Times New Roman"/>
                <w:b w:val="false"/>
                <w:sz w:val="26"/>
              </w:rPr>
              <w:t>20/2019/TT-BXD</w:t>
            </w:r>
          </w:p>
        </w:tc>
        <w:tc>
          <w:p/>
          <w:p>
            <w:pPr>
              <w:spacing w:after="0" w:before="0" w:lineRule="auto" w:line="276"/>
              <w:jc w:val="left"/>
            </w:pPr>
            <w:r>
              <w:rPr>
                <w:rFonts w:ascii="Times New Roman" w:hAnsi="Times New Roman" w:cs="Times New Roman" w:eastAsia="Times New Roman"/>
                <w:b w:val="false"/>
                <w:sz w:val="26"/>
              </w:rPr>
              <w:t>Thông tư 20/2019/TT-BXD</w:t>
            </w:r>
          </w:p>
        </w:tc>
        <w:tc>
          <w:p/>
          <w:p>
            <w:pPr>
              <w:spacing w:after="0" w:before="0" w:lineRule="auto" w:line="276"/>
              <w:jc w:val="left"/>
            </w:pPr>
            <w:r>
              <w:rPr>
                <w:rFonts w:ascii="Times New Roman" w:hAnsi="Times New Roman" w:cs="Times New Roman" w:eastAsia="Times New Roman"/>
                <w:b w:val="false"/>
                <w:sz w:val="26"/>
              </w:rPr>
              <w:t>31-12-2019</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12/2021/TT-BXD</w:t>
            </w:r>
          </w:p>
        </w:tc>
        <w:tc>
          <w:p/>
          <w:p>
            <w:pPr>
              <w:spacing w:after="0" w:before="0" w:lineRule="auto" w:line="276"/>
              <w:jc w:val="left"/>
            </w:pPr>
            <w:r>
              <w:rPr>
                <w:rFonts w:ascii="Times New Roman" w:hAnsi="Times New Roman" w:cs="Times New Roman" w:eastAsia="Times New Roman"/>
                <w:b w:val="false"/>
                <w:sz w:val="26"/>
              </w:rPr>
              <w:t>Thông tư 12/2021/TT-BXD</w:t>
            </w:r>
          </w:p>
        </w:tc>
        <w:tc>
          <w:p/>
          <w:p>
            <w:pPr>
              <w:spacing w:after="0" w:before="0" w:lineRule="auto" w:line="276"/>
              <w:jc w:val="left"/>
            </w:pPr>
            <w:r>
              <w:rPr>
                <w:rFonts w:ascii="Times New Roman" w:hAnsi="Times New Roman" w:cs="Times New Roman" w:eastAsia="Times New Roman"/>
                <w:b w:val="false"/>
                <w:sz w:val="26"/>
              </w:rPr>
              <w:t>31-08-2021</w:t>
            </w:r>
          </w:p>
        </w:tc>
        <w:tc>
          <w:p/>
        </w:tc>
      </w:tr>
      <w:tr>
        <w:tc>
          <w:p/>
          <w:p>
            <w:pPr>
              <w:spacing w:after="0" w:before="0" w:lineRule="auto" w:line="276"/>
              <w:jc w:val="left"/>
            </w:pPr>
            <w:r>
              <w:rPr>
                <w:rFonts w:ascii="Times New Roman" w:hAnsi="Times New Roman" w:cs="Times New Roman" w:eastAsia="Times New Roman"/>
                <w:b w:val="false"/>
                <w:sz w:val="26"/>
              </w:rPr>
              <w:t>33/2022/QĐ-UBND</w:t>
            </w:r>
          </w:p>
        </w:tc>
        <w:tc>
          <w:p/>
          <w:p>
            <w:pPr>
              <w:spacing w:after="0" w:before="0" w:lineRule="auto" w:line="276"/>
              <w:jc w:val="left"/>
            </w:pPr>
            <w:r>
              <w:rPr>
                <w:rFonts w:ascii="Times New Roman" w:hAnsi="Times New Roman" w:cs="Times New Roman" w:eastAsia="Times New Roman"/>
                <w:b w:val="false"/>
                <w:sz w:val="26"/>
              </w:rPr>
              <w:t>Ban hành Quy định phân công, phân cấp về lập, thẩm định, phê duyệt, tổ chức thực hiện quy hoạch xây dựng; quản lý kiến trúc; cấp giấy phép xây dựng trên địa bàn tỉnh Quảng Bình</w:t>
            </w:r>
          </w:p>
        </w:tc>
        <w:tc>
          <w:p/>
          <w:p>
            <w:pPr>
              <w:spacing w:after="0" w:before="0" w:lineRule="auto" w:line="276"/>
              <w:jc w:val="left"/>
            </w:pPr>
            <w:r>
              <w:rPr>
                <w:rFonts w:ascii="Times New Roman" w:hAnsi="Times New Roman" w:cs="Times New Roman" w:eastAsia="Times New Roman"/>
                <w:b w:val="false"/>
                <w:sz w:val="26"/>
              </w:rPr>
              <w:t>24-08-2022</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04/2022/TT-BXD</w:t>
            </w:r>
          </w:p>
        </w:tc>
        <w:tc>
          <w:p/>
          <w:p>
            <w:pPr>
              <w:spacing w:after="0" w:before="0" w:lineRule="auto" w:line="276"/>
              <w:jc w:val="left"/>
            </w:pPr>
            <w:r>
              <w:rPr>
                <w:rFonts w:ascii="Times New Roman" w:hAnsi="Times New Roman" w:cs="Times New Roman" w:eastAsia="Times New Roman"/>
                <w:b w:val="false"/>
                <w:sz w:val="26"/>
              </w:rPr>
              <w:t>quy định về hồ sơ nhiệm vụ và hồ sơ đồ án quy hoạch xây dựng liên huyện, quy hoạch xây dựng vùng huyện, quy hoạch đô thị, quy hoạch xây dựng khu chức năng và quy hoạch nông thôn</w:t>
            </w:r>
          </w:p>
        </w:tc>
        <w:tc>
          <w:p/>
          <w:p>
            <w:pPr>
              <w:spacing w:after="0" w:before="0" w:lineRule="auto" w:line="276"/>
              <w:jc w:val="left"/>
            </w:pPr>
            <w:r>
              <w:rPr>
                <w:rFonts w:ascii="Times New Roman" w:hAnsi="Times New Roman" w:cs="Times New Roman" w:eastAsia="Times New Roman"/>
                <w:b w:val="false"/>
                <w:sz w:val="26"/>
              </w:rPr>
              <w:t>24-10-2022</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62/QĐ-UBND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thay thế và bãi bỏ trong lĩnh vực Đường bộ thuộc thẩm quyền giải quyết của Sở Giao thông vận tải Quảng Bình</w:t>
            </w:r>
          </w:p>
        </w:tc>
        <w:tc>
          <w:p/>
          <w:p>
            <w:pPr>
              <w:spacing w:after="0" w:before="0" w:lineRule="auto" w:line="276"/>
              <w:jc w:val="left"/>
            </w:pPr>
            <w:r>
              <w:rPr>
                <w:rFonts w:ascii="Times New Roman" w:hAnsi="Times New Roman" w:cs="Times New Roman" w:eastAsia="Times New Roman"/>
                <w:b w:val="false"/>
                <w:sz w:val="26"/>
              </w:rPr>
              <w:t>17-01-2025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2026-05-02T11:29:52Z</dcterms:created>
  <dc:creator>Apache POI</dc:creator>
</cp:coreProperties>
</file>