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1.003141.H50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đồ án, đồ án điều chỉnh quy hoạch chi tiết của dự án đầu tư xây dựng công trình theo hình thức kinh doanh thuộc thẩm quyền phê duyệt của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đầu tư thực hiện dự án đầu tư xây dựng nộp hồ sơ đồ án, đồ án điều chỉnh quy hoạch chi tiết (sau đây gọi là khách hàng) cho Phòng Quản lý Đô thị thành phố, thị xã; Phòng Kinh tế và Hạ tầng các huyện (sau đây gọi là Phòng chuyên môn cấp huyện) tại Bộ phận một cửa của UBND các huyện, thị xã, thành phố (sau đây gọi là UBND cấp huyện). 
Thời gian nhận hồ sơ và trả kết quả vào giờ hành chính các ngày làm việc trong tuần (trừ ngày lễ, tết).
Phòng chuyên môn cấp huyện có trách nhiệm hướng dẫn, cung cấp thông tin liên quan đến hồ sơ khi có yêu cầu của khách hàng.</w:t>
      </w:r>
    </w:p>
    <w:p>
      <w:pPr>
        <w:spacing w:after="0" w:before="0" w:lineRule="auto" w:line="276"/>
        <w:jc w:val="both"/>
      </w:pPr>
      <w:r>
        <w:rPr>
          <w:rFonts w:ascii="Times New Roman" w:hAnsi="Times New Roman" w:cs="Times New Roman" w:eastAsia="Times New Roman"/>
          <w:b w:val="false"/>
          <w:sz w:val="26"/>
        </w:rPr>
        <w:t>Bước 2: Phòng chuyên môn cấp huyện tiếp nhận hồ sơ; kiểm tra hồ sơ; ghi giấy biên nhận đối với trường hợp hồ sơ đáp ứng theo quy định hoặc hướng dẫn để khách hàng hoàn thiện hồ sơ đối với trường hợp hồ sơ không đáp ứng theo quy định.</w:t>
      </w:r>
    </w:p>
    <w:p>
      <w:pPr>
        <w:spacing w:after="0" w:before="0" w:lineRule="auto" w:line="276"/>
        <w:jc w:val="both"/>
      </w:pPr>
      <w:r>
        <w:rPr>
          <w:rFonts w:ascii="Times New Roman" w:hAnsi="Times New Roman" w:cs="Times New Roman" w:eastAsia="Times New Roman"/>
          <w:b w:val="false"/>
          <w:sz w:val="26"/>
        </w:rPr>
        <w:t>Bước 3: Phòng chuyên môn cấp huyện căn cứ các quy định hiện hành để tổ chức thẩm định.
- Trường hợp hồ sơ không đủ điều kiện (do có các tài liệu còn thiếu, các tài liệu không đúng theo quy định hoặc không đúng với thực tế): Phòng chuyên môn cấp huyện thông báo một lần bằng văn bản cho khách hàng bổ sung, hoàn chỉnh hồ sơ.
- Trường hợp hồ sơ đủ điều kiện: Phòng chuyên môn cấp huyện tổng hợp hồ sơ, ra văn bản báo cáo thẩm định.</w:t>
      </w:r>
    </w:p>
    <w:p>
      <w:pPr>
        <w:spacing w:after="0" w:before="0" w:lineRule="auto" w:line="276"/>
        <w:jc w:val="both"/>
      </w:pPr>
      <w:r>
        <w:rPr>
          <w:rFonts w:ascii="Times New Roman" w:hAnsi="Times New Roman" w:cs="Times New Roman" w:eastAsia="Times New Roman"/>
          <w:b w:val="false"/>
          <w:sz w:val="26"/>
        </w:rPr>
        <w:t>Bước 4: Phòng chuyên môn cấp huyện chuyển hồ sơ, kết quả cho Bộ phận một cửa của UBND cấp huyện.</w:t>
      </w:r>
    </w:p>
    <w:p>
      <w:pPr>
        <w:spacing w:after="0" w:before="0" w:lineRule="auto" w:line="276"/>
        <w:jc w:val="both"/>
      </w:pPr>
      <w:r>
        <w:rPr>
          <w:rFonts w:ascii="Times New Roman" w:hAnsi="Times New Roman" w:cs="Times New Roman" w:eastAsia="Times New Roman"/>
          <w:b w:val="false"/>
          <w:sz w:val="26"/>
        </w:rPr>
        <w:t>Bước 5: Khách hàng đến Bộ phận một cửa của UBND cấp huyện nộp lệ phí và nhận kết quả phê duyệt theo thời hạn ghi trong giấy biên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Tính theo tỷ lệ % so với chi phí lập đồ án quy hoạch (Biểu kèm theo). </w:t>
              <w:br/>
              <w:t>File đính kèm: Bieu phi.docx</w:t>
            </w:r>
          </w:p>
        </w:tc>
        <w:tc>
          <w:p/>
          <w:p>
            <w:pPr>
              <w:spacing w:after="0" w:before="0" w:lineRule="auto" w:line="276"/>
              <w:jc w:val="left"/>
            </w:pPr>
            <w:r>
              <w:rPr>
                <w:rFonts w:ascii="Times New Roman" w:hAnsi="Times New Roman" w:cs="Times New Roman" w:eastAsia="Times New Roman"/>
                <w:b w:val="false"/>
                <w:sz w:val="26"/>
              </w:rPr>
              <w:t>25 (hai mươi lăm)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Tính theo tỷ lệ % so với chi phí lập đồ án quy hoạch (Biểu kèm theo). </w:t>
              <w:br/>
              <w:t>File đính kèm: Bieu phi.docx</w:t>
            </w:r>
          </w:p>
        </w:tc>
        <w:tc>
          <w:p/>
          <w:p>
            <w:pPr>
              <w:spacing w:after="0" w:before="0" w:lineRule="auto" w:line="276"/>
              <w:jc w:val="left"/>
            </w:pPr>
            <w:r>
              <w:rPr>
                <w:rFonts w:ascii="Times New Roman" w:hAnsi="Times New Roman" w:cs="Times New Roman" w:eastAsia="Times New Roman"/>
                <w:b w:val="false"/>
                <w:sz w:val="26"/>
              </w:rPr>
              <w:t>25 (hai mươi lăm)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thẩm định nhiệm vụ, nhiệm vụ điều chỉnh quy hoạch chi tiết(theo quy định của Luật Quy hoạch đô thị và Nghị định số 37/2010/NĐ-CP), thành phần hồ sơ gồm: (1) Tờ trình đề nghị thẩm định; (2) thuyết minh nội dung nhiệm vụ; (3) dự thảo quyết định phê duyệt nhiệm vụ; (4)các bản vẽ in màu thu nhỏ ; (5) các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thẩm định nhiệm vụ, nhiệm vụ điều chỉnh quy hoạch chi tiếtxây dựng khu chức năng đặc thù, điểm dân cư nông thôn (theo quy định của Luật Xây dựng và Nghị định số 44/2015/NĐ-CP), thành phần hồ sơ gồm: (1), (2), (3), (4), (5) và văn bản giải trình ý kiến của các cơ quan, tổ chức và cộng đồng dân cư về nội dung nhiệm vụ quy hoạch; hồ sơ pháp nhân và hồ sơ năng lực của tổ chức tư vấn lập quy hoạch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Quản lý Đô thị cấp thị xã, thành phố - tỉnh Quảng Bình, Phòng Kinh tế và Hạ tầng cấp huyện - tỉnh Quảng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UBND các huyện, thị xã,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nhiệm vụ, nhiệm vụ điều chỉnh QH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30/2009/QH12</w:t>
            </w:r>
          </w:p>
        </w:tc>
        <w:tc>
          <w:p/>
          <w:p>
            <w:pPr>
              <w:spacing w:after="0" w:before="0" w:lineRule="auto" w:line="276"/>
              <w:jc w:val="left"/>
            </w:pPr>
            <w:r>
              <w:rPr>
                <w:rFonts w:ascii="Times New Roman" w:hAnsi="Times New Roman" w:cs="Times New Roman" w:eastAsia="Times New Roman"/>
                <w:b w:val="false"/>
                <w:sz w:val="26"/>
              </w:rPr>
              <w:t>Luật 30/2009/QH12</w:t>
            </w:r>
          </w:p>
        </w:tc>
        <w:tc>
          <w:p/>
          <w:p>
            <w:pPr>
              <w:spacing w:after="0" w:before="0" w:lineRule="auto" w:line="276"/>
              <w:jc w:val="left"/>
            </w:pPr>
            <w:r>
              <w:rPr>
                <w:rFonts w:ascii="Times New Roman" w:hAnsi="Times New Roman" w:cs="Times New Roman" w:eastAsia="Times New Roman"/>
                <w:b w:val="false"/>
                <w:sz w:val="26"/>
              </w:rPr>
              <w:t>17-06-2009</w:t>
            </w:r>
          </w:p>
        </w:tc>
        <w:tc>
          <w:p/>
        </w:tc>
      </w:tr>
      <w:tr>
        <w:tc>
          <w:p/>
          <w:p>
            <w:pPr>
              <w:spacing w:after="0" w:before="0" w:lineRule="auto" w:line="276"/>
              <w:jc w:val="left"/>
            </w:pPr>
            <w:r>
              <w:rPr>
                <w:rFonts w:ascii="Times New Roman" w:hAnsi="Times New Roman" w:cs="Times New Roman" w:eastAsia="Times New Roman"/>
                <w:b w:val="false"/>
                <w:sz w:val="26"/>
              </w:rPr>
              <w:t>44/2015/NĐ-CP</w:t>
            </w:r>
          </w:p>
        </w:tc>
        <w:tc>
          <w:p/>
          <w:p>
            <w:pPr>
              <w:spacing w:after="0" w:before="0" w:lineRule="auto" w:line="276"/>
              <w:jc w:val="left"/>
            </w:pPr>
            <w:r>
              <w:rPr>
                <w:rFonts w:ascii="Times New Roman" w:hAnsi="Times New Roman" w:cs="Times New Roman" w:eastAsia="Times New Roman"/>
                <w:b w:val="false"/>
                <w:sz w:val="26"/>
              </w:rPr>
              <w:t>Nghị định 44/2015/NĐ-CP</w:t>
            </w:r>
          </w:p>
        </w:tc>
        <w:tc>
          <w:p/>
          <w:p>
            <w:pPr>
              <w:spacing w:after="0" w:before="0" w:lineRule="auto" w:line="276"/>
              <w:jc w:val="left"/>
            </w:pPr>
            <w:r>
              <w:rPr>
                <w:rFonts w:ascii="Times New Roman" w:hAnsi="Times New Roman" w:cs="Times New Roman" w:eastAsia="Times New Roman"/>
                <w:b w:val="false"/>
                <w:sz w:val="26"/>
              </w:rPr>
              <w:t>06-05-2015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37/2010/NĐ-CP</w:t>
            </w:r>
          </w:p>
        </w:tc>
        <w:tc>
          <w:p/>
          <w:p>
            <w:pPr>
              <w:spacing w:after="0" w:before="0" w:lineRule="auto" w:line="276"/>
              <w:jc w:val="left"/>
            </w:pPr>
            <w:r>
              <w:rPr>
                <w:rFonts w:ascii="Times New Roman" w:hAnsi="Times New Roman" w:cs="Times New Roman" w:eastAsia="Times New Roman"/>
                <w:b w:val="false"/>
                <w:sz w:val="26"/>
              </w:rPr>
              <w:t>Nghị định 37/2010/NĐ-CP</w:t>
            </w:r>
          </w:p>
        </w:tc>
        <w:tc>
          <w:p/>
          <w:p>
            <w:pPr>
              <w:spacing w:after="0" w:before="0" w:lineRule="auto" w:line="276"/>
              <w:jc w:val="left"/>
            </w:pPr>
            <w:r>
              <w:rPr>
                <w:rFonts w:ascii="Times New Roman" w:hAnsi="Times New Roman" w:cs="Times New Roman" w:eastAsia="Times New Roman"/>
                <w:b w:val="false"/>
                <w:sz w:val="26"/>
              </w:rPr>
              <w:t>07-04-2010</w:t>
            </w:r>
          </w:p>
        </w:tc>
        <w:tc>
          <w:p/>
        </w:tc>
      </w:tr>
      <w:tr>
        <w:tc>
          <w:p/>
          <w:p>
            <w:pPr>
              <w:spacing w:after="0" w:before="0" w:lineRule="auto" w:line="276"/>
              <w:jc w:val="left"/>
            </w:pPr>
            <w:r>
              <w:rPr>
                <w:rFonts w:ascii="Times New Roman" w:hAnsi="Times New Roman" w:cs="Times New Roman" w:eastAsia="Times New Roman"/>
                <w:b w:val="false"/>
                <w:sz w:val="26"/>
              </w:rPr>
              <w:t>72/2019/NĐ-CP</w:t>
            </w:r>
          </w:p>
        </w:tc>
        <w:tc>
          <w:p/>
          <w:p>
            <w:pPr>
              <w:spacing w:after="0" w:before="0" w:lineRule="auto" w:line="276"/>
              <w:jc w:val="left"/>
            </w:pPr>
            <w:r>
              <w:rPr>
                <w:rFonts w:ascii="Times New Roman" w:hAnsi="Times New Roman" w:cs="Times New Roman" w:eastAsia="Times New Roman"/>
                <w:b w:val="false"/>
                <w:sz w:val="26"/>
              </w:rPr>
              <w:t>Nghị định 72/2019/NĐ-CP</w:t>
            </w:r>
          </w:p>
        </w:tc>
        <w:tc>
          <w:p/>
          <w:p>
            <w:pPr>
              <w:spacing w:after="0" w:before="0" w:lineRule="auto" w:line="276"/>
              <w:jc w:val="left"/>
            </w:pPr>
            <w:r>
              <w:rPr>
                <w:rFonts w:ascii="Times New Roman" w:hAnsi="Times New Roman" w:cs="Times New Roman" w:eastAsia="Times New Roman"/>
                <w:b w:val="false"/>
                <w:sz w:val="26"/>
              </w:rPr>
              <w:t>30-08-2019</w:t>
            </w:r>
          </w:p>
        </w:tc>
        <w:tc>
          <w:p/>
        </w:tc>
      </w:tr>
      <w:tr>
        <w:tc>
          <w:p/>
          <w:p>
            <w:pPr>
              <w:spacing w:after="0" w:before="0" w:lineRule="auto" w:line="276"/>
              <w:jc w:val="left"/>
            </w:pPr>
            <w:r>
              <w:rPr>
                <w:rFonts w:ascii="Times New Roman" w:hAnsi="Times New Roman" w:cs="Times New Roman" w:eastAsia="Times New Roman"/>
                <w:b w:val="false"/>
                <w:sz w:val="26"/>
              </w:rPr>
              <w:t>20/2019/TT-BXD</w:t>
            </w:r>
          </w:p>
        </w:tc>
        <w:tc>
          <w:p/>
          <w:p>
            <w:pPr>
              <w:spacing w:after="0" w:before="0" w:lineRule="auto" w:line="276"/>
              <w:jc w:val="left"/>
            </w:pPr>
            <w:r>
              <w:rPr>
                <w:rFonts w:ascii="Times New Roman" w:hAnsi="Times New Roman" w:cs="Times New Roman" w:eastAsia="Times New Roman"/>
                <w:b w:val="false"/>
                <w:sz w:val="26"/>
              </w:rPr>
              <w:t>Thông tư 20/2019/TT-BXD</w:t>
            </w:r>
          </w:p>
        </w:tc>
        <w:tc>
          <w:p/>
          <w:p>
            <w:pPr>
              <w:spacing w:after="0" w:before="0" w:lineRule="auto" w:line="276"/>
              <w:jc w:val="left"/>
            </w:pPr>
            <w:r>
              <w:rPr>
                <w:rFonts w:ascii="Times New Roman" w:hAnsi="Times New Roman" w:cs="Times New Roman" w:eastAsia="Times New Roman"/>
                <w:b w:val="false"/>
                <w:sz w:val="26"/>
              </w:rPr>
              <w:t>31-12-2019</w:t>
            </w:r>
          </w:p>
        </w:tc>
        <w:tc>
          <w:p/>
        </w:tc>
      </w:tr>
      <w:tr>
        <w:tc>
          <w:p/>
          <w:p>
            <w:pPr>
              <w:spacing w:after="0" w:before="0" w:lineRule="auto" w:line="276"/>
              <w:jc w:val="left"/>
            </w:pPr>
            <w:r>
              <w:rPr>
                <w:rFonts w:ascii="Times New Roman" w:hAnsi="Times New Roman" w:cs="Times New Roman" w:eastAsia="Times New Roman"/>
                <w:b w:val="false"/>
                <w:sz w:val="26"/>
              </w:rPr>
              <w:t>12/2021/TT-BXD</w:t>
            </w:r>
          </w:p>
        </w:tc>
        <w:tc>
          <w:p/>
          <w:p>
            <w:pPr>
              <w:spacing w:after="0" w:before="0" w:lineRule="auto" w:line="276"/>
              <w:jc w:val="left"/>
            </w:pPr>
            <w:r>
              <w:rPr>
                <w:rFonts w:ascii="Times New Roman" w:hAnsi="Times New Roman" w:cs="Times New Roman" w:eastAsia="Times New Roman"/>
                <w:b w:val="false"/>
                <w:sz w:val="26"/>
              </w:rPr>
              <w:t>Thông tư 12/2021/TT-BXD</w:t>
            </w:r>
          </w:p>
        </w:tc>
        <w:tc>
          <w:p/>
          <w:p>
            <w:pPr>
              <w:spacing w:after="0" w:before="0" w:lineRule="auto" w:line="276"/>
              <w:jc w:val="left"/>
            </w:pPr>
            <w:r>
              <w:rPr>
                <w:rFonts w:ascii="Times New Roman" w:hAnsi="Times New Roman" w:cs="Times New Roman" w:eastAsia="Times New Roman"/>
                <w:b w:val="false"/>
                <w:sz w:val="26"/>
              </w:rPr>
              <w:t>31-08-2021</w:t>
            </w:r>
          </w:p>
        </w:tc>
        <w:tc>
          <w:p/>
        </w:tc>
      </w:tr>
      <w:tr>
        <w:tc>
          <w:p/>
          <w:p>
            <w:pPr>
              <w:spacing w:after="0" w:before="0" w:lineRule="auto" w:line="276"/>
              <w:jc w:val="left"/>
            </w:pPr>
            <w:r>
              <w:rPr>
                <w:rFonts w:ascii="Times New Roman" w:hAnsi="Times New Roman" w:cs="Times New Roman" w:eastAsia="Times New Roman"/>
                <w:b w:val="false"/>
                <w:sz w:val="26"/>
              </w:rPr>
              <w:t>33/2022/QĐ-UBND</w:t>
            </w:r>
          </w:p>
        </w:tc>
        <w:tc>
          <w:p/>
          <w:p>
            <w:pPr>
              <w:spacing w:after="0" w:before="0" w:lineRule="auto" w:line="276"/>
              <w:jc w:val="left"/>
            </w:pPr>
            <w:r>
              <w:rPr>
                <w:rFonts w:ascii="Times New Roman" w:hAnsi="Times New Roman" w:cs="Times New Roman" w:eastAsia="Times New Roman"/>
                <w:b w:val="false"/>
                <w:sz w:val="26"/>
              </w:rPr>
              <w:t>Ban hành Quy định phân công, phân cấp về lập, thẩm định, phê duyệt, tổ chức thực hiện quy hoạch xây dựng; quản lý kiến trúc; cấp giấy phép xây dựng trên địa bàn tỉnh Quảng Bình</w:t>
            </w:r>
          </w:p>
        </w:tc>
        <w:tc>
          <w:p/>
          <w:p>
            <w:pPr>
              <w:spacing w:after="0" w:before="0" w:lineRule="auto" w:line="276"/>
              <w:jc w:val="left"/>
            </w:pPr>
            <w:r>
              <w:rPr>
                <w:rFonts w:ascii="Times New Roman" w:hAnsi="Times New Roman" w:cs="Times New Roman" w:eastAsia="Times New Roman"/>
                <w:b w:val="false"/>
                <w:sz w:val="26"/>
              </w:rPr>
              <w:t>24-08-2022</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04/2022/TT-BXD</w:t>
            </w:r>
          </w:p>
        </w:tc>
        <w:tc>
          <w:p/>
          <w:p>
            <w:pPr>
              <w:spacing w:after="0" w:before="0" w:lineRule="auto" w:line="276"/>
              <w:jc w:val="left"/>
            </w:pPr>
            <w:r>
              <w:rPr>
                <w:rFonts w:ascii="Times New Roman" w:hAnsi="Times New Roman" w:cs="Times New Roman" w:eastAsia="Times New Roman"/>
                <w:b w:val="false"/>
                <w:sz w:val="26"/>
              </w:rPr>
              <w:t>quy định về hồ sơ nhiệm vụ và hồ sơ đồ án quy hoạch xây dựng liên huyện, quy hoạch xây dựng vùng huyện, quy hoạch đô thị, quy hoạch xây dựng khu chức năng và quy hoạch nông thôn</w:t>
            </w:r>
          </w:p>
        </w:tc>
        <w:tc>
          <w:p/>
          <w:p>
            <w:pPr>
              <w:spacing w:after="0" w:before="0" w:lineRule="auto" w:line="276"/>
              <w:jc w:val="left"/>
            </w:pPr>
            <w:r>
              <w:rPr>
                <w:rFonts w:ascii="Times New Roman" w:hAnsi="Times New Roman" w:cs="Times New Roman" w:eastAsia="Times New Roman"/>
                <w:b w:val="false"/>
                <w:sz w:val="26"/>
              </w:rPr>
              <w:t>24-10-2022</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62/QĐ-UBND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thay thế và bãi bỏ trong lĩnh vực Đường bộ thuộc thẩm quyền giải quyết của Sở Giao thông vận tải Quảng Bình</w:t>
            </w:r>
          </w:p>
        </w:tc>
        <w:tc>
          <w:p/>
          <w:p>
            <w:pPr>
              <w:spacing w:after="0" w:before="0" w:lineRule="auto" w:line="276"/>
              <w:jc w:val="left"/>
            </w:pPr>
            <w:r>
              <w:rPr>
                <w:rFonts w:ascii="Times New Roman" w:hAnsi="Times New Roman" w:cs="Times New Roman" w:eastAsia="Times New Roman"/>
                <w:b w:val="false"/>
                <w:sz w:val="26"/>
              </w:rPr>
              <w:t>17-01-2025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2026-05-02T11:28:41Z</dcterms:created>
  <dc:creator>Apache POI</dc:creator>
</cp:coreProperties>
</file>