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Mẫu số 09 Phụ lục I Nghị định số 131/2021/NĐ-CP kèm các giấy tờ quy định tại khoản 1 và khoản 2 Điều 54 Nghị định số 131/2021/NĐ-CP gửi đến Trung tâm Phục vụ hành chính công cấp xã nơi thường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quy định tại điểm a khoản 1 Điều 56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(nay là Sở Nội vụ) cấp giấy giới thiệu theo Mẫu số 38 Phụ lục I Nghị định số 131/2021/NĐ-CP gửi đến Hội đồng giám định y khoa cấp tỉnh để khám giám định tổng hợp tỷ lệ tổn thương cơ thể.</w:t>
      </w:r>
    </w:p>
    <w:p>
      <w:pPr>
        <w:spacing w:after="0" w:before="0" w:lineRule="auto" w:line="276"/>
        <w:jc w:val="both"/>
      </w:pPr>
      <w:r>
        <w:rPr>
          <w:rFonts w:ascii="Times New Roman" w:hAnsi="Times New Roman" w:cs="Times New Roman" w:eastAsia="Times New Roman"/>
          <w:b w:val="false"/>
          <w:sz w:val="26"/>
        </w:rPr>
        <w:t>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0" w:lineRule="auto" w:line="276"/>
        <w:jc w:val="both"/>
      </w:pPr>
      <w:r>
        <w:rPr>
          <w:rFonts w:ascii="Times New Roman" w:hAnsi="Times New Roman" w:cs="Times New Roman" w:eastAsia="Times New Roman"/>
          <w:b w:val="false"/>
          <w:sz w:val="26"/>
        </w:rPr>
        <w:t>Bước 6: Sở Nội vụ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a.2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quy định tại điểm b khoản 2 Điều 56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(nay là Sở Nội vụ)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(nay là Sở Nội vụ).
Trong thời gian 05 ngày làm việc kể từ ngày nhận được biên bản giám định y khoa thì Sở Lao động - Thương binh và Xã hội (nay là Sở Nội vụ)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a.3 Đối với trường hợp người hoạt động kháng chiến có vợ hoặc có chồng nhưng không có con đẻ</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kèm theo các giấy tờ quy định tại khoản 1 Điều 54 Nghị định số 131/2021/NĐ-CP gửi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Uỷ ban nhân dân cấp xã trong thời gian 12 ngày kể từ ngày nhận được bản khai, có trách nhiệm xác nhận bản khai, cấp giấy xác nhận người hoạt động kháng chiến có vợ hoặc chồng nhưng không có con đẻ, lập danh sách những trường hợp đủ giấy tờ gửi Sở Nội vụ theo quy định tại điểm b khoản 3 Điều 56 Nghị định số 131/2021/NĐ-CP.</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2026-05-09T06:49:12Z</dcterms:created>
  <dc:creator>Apache POI</dc:creator>
</cp:coreProperties>
</file>