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Trung tâm Phục vụ hành chính công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w:t>
      </w:r>
    </w:p>
    <w:p>
      <w:pPr>
        <w:spacing w:after="0" w:before="0" w:lineRule="auto" w:line="276"/>
        <w:jc w:val="both"/>
      </w:pPr>
      <w:r>
        <w:rPr>
          <w:rFonts w:ascii="Times New Roman" w:hAnsi="Times New Roman" w:cs="Times New Roman" w:eastAsia="Times New Roman"/>
          <w:b w:val="false"/>
          <w:sz w:val="26"/>
        </w:rPr>
        <w:t>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w:t>
      </w:r>
    </w:p>
    <w:p>
      <w:pPr>
        <w:spacing w:after="0" w:before="0" w:lineRule="auto" w:line="276"/>
        <w:jc w:val="both"/>
      </w:pPr>
      <w:r>
        <w:rPr>
          <w:rFonts w:ascii="Times New Roman" w:hAnsi="Times New Roman" w:cs="Times New Roman" w:eastAsia="Times New Roman"/>
          <w:b w:val="false"/>
          <w:sz w:val="26"/>
        </w:rPr>
        <w:t>Bước 3: Cơ quan có thẩm quyền cấp giấy chứng nhận bị thương có trách nhiệm kiểm tra hồ sơ, cấp giấy chứng nhận bị thương và chuyển hồ sơ về Sở Nội vụ nơi người bị thương thường trú.</w:t>
      </w:r>
    </w:p>
    <w:p>
      <w:pPr>
        <w:spacing w:after="0" w:before="0" w:lineRule="auto" w:line="276"/>
        <w:jc w:val="both"/>
      </w:pPr>
      <w:r>
        <w:rPr>
          <w:rFonts w:ascii="Times New Roman" w:hAnsi="Times New Roman" w:cs="Times New Roman" w:eastAsia="Times New Roman"/>
          <w:b w:val="false"/>
          <w:sz w:val="26"/>
        </w:rPr>
        <w:t>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w:t>
      </w:r>
    </w:p>
    <w:p>
      <w:pPr>
        <w:spacing w:after="0" w:before="0" w:lineRule="auto" w:line="276"/>
        <w:jc w:val="both"/>
      </w:pPr>
      <w:r>
        <w:rPr>
          <w:rFonts w:ascii="Times New Roman" w:hAnsi="Times New Roman" w:cs="Times New Roman" w:eastAsia="Times New Roman"/>
          <w:b w:val="false"/>
          <w:sz w:val="26"/>
        </w:rPr>
        <w:t>Bước 5.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Sở Nội vụ - tỉnh Điện Biên,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2026-05-09T06:45:08Z</dcterms:created>
  <dc:creator>Apache POI</dc:creator>
</cp:coreProperties>
</file>