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thông tin về nơi liệt sĩ hy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gửi một trong các cơ quan, đơn vị sau đây: cơ quan, đơn vị quản lý liệt sĩ trước khi hy sinh cấp tỉnh; Bộ Chỉ huy quân sự tỉnh nơi nguyên quán của liệt sĩ; Bộ Chỉ huy quân sự tỉnh nơi liệt sĩ hy sinh.
         Bước 2: Cơ quan, đơn vị trong thời gian 15 ngày có trách nhiệm kiểm tra, xác minh, cấp giấy xác nhận thông tin về nơi liệt sĩ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xác nhận thông tin về nơi liệt sĩ hy sinh</w:t>
            </w:r>
          </w:p>
        </w:tc>
        <w:tc>
          <w:p/>
          <w:p>
            <w:pPr>
              <w:spacing w:after="0" w:before="0" w:lineRule="auto" w:line="276"/>
              <w:jc w:val="left"/>
            </w:pPr>
            <w:r>
              <w:rPr>
                <w:rFonts w:ascii="Times New Roman" w:hAnsi="Times New Roman" w:cs="Times New Roman" w:eastAsia="Times New Roman"/>
                <w:b w:val="false"/>
                <w:sz w:val="26"/>
              </w:rPr>
              <w:t>Mau so 44.docx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Chỉ huy Quân sự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đơn vị quản lý liệt sĩ trước khi hy sinh cấp tỉnh; Bộ Chỉ huy quân sự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thông tin về nơi liệt sĩ hy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là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2026-05-05T15:54:50Z</dcterms:created>
  <dc:creator>Apache POI</dc:creator>
</cp:coreProperties>
</file>