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3.000182.000.00.00.H26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sinh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Quy trình tuyển sinh trung học cơ sở
a) Chủ tịch Ủy ban nhân dân xã, phê duyệt kế hoạch tuyển sinh trung học cơ sở. Kế hoạch tuyển sinh trung học cơ sở bao gồm các nội dung cơ bản sau: đối tượng tuyển sinh; chỉ tiêu và địa bàn tuyển sinh; tiêu chí xét tuyển; thời gian xét tuyển và công bố kết quả tuyển sinh. Kế hoạch tuyển sinh trung học cơ sở được công bố trước ngày 31 tháng 3 hằng năm.
Đối với các trường trung học cơ sở thuộc đại học, trường đại học, viện nghiên cứu, kế hoạch tuyển sinh trung học cơ sở do Giám đốc đại học, Hiệu trưởng trường đại học, Viện trưởng viện nghiên cứu trực tiếp quản lý quyết định sau khi thống nhất với Ủy ban nhân dân xã tạo nơi trường đặt trụ sở.
b) Căn cứ kế hoạch tuyển sinh trung học cơ sở đã được phê duyệt, Hội đồng tuyển sinh trung học cơ sở xây dựng và thông báo công khai kế hoạch tuyển sinh của nhà trường; tổ chức việc đăng ký tuyển sinh, tiếp nhận và chuẩn bị nội dung đăng ký tuyển sinh.
c) Hội đồng tuyển sinh trung học cơ sở tổ chức việc xét tuyển theo kế hoạch tuyển sinh đã được phê duyệt; đề xuất danh sách học sinh trúng tuyển với Hiệu trưởng nhà trường để trình Chủ tịch Ủy ban nhân dân cấp xã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Kế hoạch và Thông báo tuyển sinh hằng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đến Cơ sở giáo dục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Kế hoạch và Thông báo tuyển sinh hằng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trên Hệ thống tuyển sinh đầu cấp của Thành phố Hà Nội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Kế hoạch và Thông báo tuyển sinh hằng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đường bưu điện đến Cơ sở giáo dục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Chưa có quy định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phổ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hoặc gửi qua bưu điện đến Trường THCS nơi đăng ký tuyển sinh hoặc qua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tuyển vào học lớp 6</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11/2014/TT-BGDĐT</w:t>
            </w:r>
          </w:p>
        </w:tc>
        <w:tc>
          <w:p/>
          <w:p>
            <w:pPr>
              <w:spacing w:after="0" w:before="0" w:lineRule="auto" w:line="276"/>
              <w:jc w:val="left"/>
            </w:pPr>
            <w:r>
              <w:rPr>
                <w:rFonts w:ascii="Times New Roman" w:hAnsi="Times New Roman" w:cs="Times New Roman" w:eastAsia="Times New Roman"/>
                <w:b w:val="false"/>
                <w:sz w:val="26"/>
              </w:rPr>
              <w:t>Thông tư 11/2014/TT-BGDĐT</w:t>
            </w:r>
          </w:p>
        </w:tc>
        <w:tc>
          <w:p/>
          <w:p>
            <w:pPr>
              <w:spacing w:after="0" w:before="0" w:lineRule="auto" w:line="276"/>
              <w:jc w:val="left"/>
            </w:pPr>
            <w:r>
              <w:rPr>
                <w:rFonts w:ascii="Times New Roman" w:hAnsi="Times New Roman" w:cs="Times New Roman" w:eastAsia="Times New Roman"/>
                <w:b w:val="false"/>
                <w:sz w:val="26"/>
              </w:rPr>
              <w:t>18-04-2014</w:t>
            </w:r>
          </w:p>
        </w:tc>
        <w:tc>
          <w:p/>
        </w:tc>
      </w:tr>
      <w:tr>
        <w:tc>
          <w:p/>
          <w:p>
            <w:pPr>
              <w:spacing w:after="0" w:before="0" w:lineRule="auto" w:line="276"/>
              <w:jc w:val="left"/>
            </w:pPr>
            <w:r>
              <w:rPr>
                <w:rFonts w:ascii="Times New Roman" w:hAnsi="Times New Roman" w:cs="Times New Roman" w:eastAsia="Times New Roman"/>
                <w:b w:val="false"/>
                <w:sz w:val="26"/>
              </w:rPr>
              <w:t>18/2014/TT-BGDĐT</w:t>
            </w:r>
          </w:p>
        </w:tc>
        <w:tc>
          <w:p/>
          <w:p>
            <w:pPr>
              <w:spacing w:after="0" w:before="0" w:lineRule="auto" w:line="276"/>
              <w:jc w:val="left"/>
            </w:pPr>
            <w:r>
              <w:rPr>
                <w:rFonts w:ascii="Times New Roman" w:hAnsi="Times New Roman" w:cs="Times New Roman" w:eastAsia="Times New Roman"/>
                <w:b w:val="false"/>
                <w:sz w:val="26"/>
              </w:rPr>
              <w:t>Thông tư 18/2014/TT-BGDĐT</w:t>
            </w:r>
          </w:p>
        </w:tc>
        <w:tc>
          <w:p/>
          <w:p>
            <w:pPr>
              <w:spacing w:after="0" w:before="0" w:lineRule="auto" w:line="276"/>
              <w:jc w:val="left"/>
            </w:pPr>
            <w:r>
              <w:rPr>
                <w:rFonts w:ascii="Times New Roman" w:hAnsi="Times New Roman" w:cs="Times New Roman" w:eastAsia="Times New Roman"/>
                <w:b w:val="false"/>
                <w:sz w:val="26"/>
              </w:rPr>
              <w:t>26-05-2014</w:t>
            </w:r>
          </w:p>
        </w:tc>
        <w:tc>
          <w:p/>
        </w:tc>
      </w:tr>
      <w:tr>
        <w:tc>
          <w:p/>
          <w:p>
            <w:pPr>
              <w:spacing w:after="0" w:before="0" w:lineRule="auto" w:line="276"/>
              <w:jc w:val="left"/>
            </w:pPr>
            <w:r>
              <w:rPr>
                <w:rFonts w:ascii="Times New Roman" w:hAnsi="Times New Roman" w:cs="Times New Roman" w:eastAsia="Times New Roman"/>
                <w:b w:val="false"/>
                <w:sz w:val="26"/>
              </w:rPr>
              <w:t>05/2018/TT-BGDĐT</w:t>
            </w:r>
          </w:p>
        </w:tc>
        <w:tc>
          <w:p/>
          <w:p>
            <w:pPr>
              <w:spacing w:after="0" w:before="0" w:lineRule="auto" w:line="276"/>
              <w:jc w:val="left"/>
            </w:pPr>
            <w:r>
              <w:rPr>
                <w:rFonts w:ascii="Times New Roman" w:hAnsi="Times New Roman" w:cs="Times New Roman" w:eastAsia="Times New Roman"/>
                <w:b w:val="false"/>
                <w:sz w:val="26"/>
              </w:rPr>
              <w:t>Thông tư 05/2018/TT-BGDĐT</w:t>
            </w:r>
          </w:p>
        </w:tc>
        <w:tc>
          <w:p/>
          <w:p>
            <w:pPr>
              <w:spacing w:after="0" w:before="0" w:lineRule="auto" w:line="276"/>
              <w:jc w:val="left"/>
            </w:pPr>
            <w:r>
              <w:rPr>
                <w:rFonts w:ascii="Times New Roman" w:hAnsi="Times New Roman" w:cs="Times New Roman" w:eastAsia="Times New Roman"/>
                <w:b w:val="false"/>
                <w:sz w:val="26"/>
              </w:rPr>
              <w:t>28-02-2018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hoàn thành chương trình giáo dục phổ thông cấp tiểu học, học viên hoàn thành chương trình xóa mù chữ giai đoạn 2, trong độ tuổi vào học lớp 6 theo quy định tại Điều lệ trường trung học cơ sở, trường trung học phổ thông và trường phổ thông có nhiều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2026-05-26T03:39:29Z</dcterms:created>
  <dc:creator>Apache POI</dc:creator>
</cp:coreProperties>
</file>