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1.005108.H50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Thuyên chuyển đối tượng học bổ túc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học bổ túc trung học cơ sở (học viên) muốn chuyển trường nộp đơn xin chuyển trường và các loại hồ sơ cho nhà trường (trung tâm) nơi chuyển đến. Hiệu trưởng (Giám đốc) đơn vị nơi chuyển đến có ý kiến đồng ý tiếp nhận vào đơn nếu xét thấy đảm bảo các quy định; trường hợp không đồng ý phải ghi rõ lý do vào đơn và trả lại cho học viên.</w:t>
      </w:r>
    </w:p>
    <w:p>
      <w:pPr>
        <w:spacing w:after="0" w:before="0" w:lineRule="auto" w:line="276"/>
        <w:jc w:val="both"/>
      </w:pPr>
      <w:r>
        <w:rPr>
          <w:rFonts w:ascii="Times New Roman" w:hAnsi="Times New Roman" w:cs="Times New Roman" w:eastAsia="Times New Roman"/>
          <w:b w:val="false"/>
          <w:sz w:val="26"/>
        </w:rPr>
        <w:t>Bước 2: Học viên nộp đơn xin chuyển trường cho nhà trường (trung tâm) nơi chuyển đi. Sau khi nhận được đơn, Hiệu trưởng (Giám đốc) đơn vị nơi chuyển đi có trách nhiệm:
	+ Trả hồ sơ cho học sinh, gồm: Học bạ bổ túc trung học cơ sở, các loại hồ sơ khác của học sinh (nếu có), các giấy tờ hợp lệ để được hưởng chế độ ưu tiên, khuyến khích (nếu có).
	+ Cấp Giấy giới thiệu chuyển trường cho học sinh.</w:t>
      </w:r>
    </w:p>
    <w:p>
      <w:pPr>
        <w:spacing w:after="0" w:before="0" w:lineRule="auto" w:line="276"/>
        <w:jc w:val="both"/>
      </w:pPr>
      <w:r>
        <w:rPr>
          <w:rFonts w:ascii="Times New Roman" w:hAnsi="Times New Roman" w:cs="Times New Roman" w:eastAsia="Times New Roman"/>
          <w:b w:val="false"/>
          <w:sz w:val="26"/>
        </w:rPr>
        <w:t>Bước 3: Học viên nộp toàn bộ hồ sơ cho nhà trường nơi chuyển đến. Sau khi nhận hồ sơ, Hiệu trưởng (Giám đốc) đơn vị nơi chuyển đến xem xét hồ sơ và ban hành văn bản đồng ý tiếp nhận và thông báo cho học viên, sắp xếp học viên vào lớp học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trường nơi xin chuyển đến.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giáo dục thường xuyên, giáo dục - dạy nghề hoặc trường, lớp bổ túc văn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Trung tâm giáo dục thường xuyên nơi xin chuyển đến đồng ý tiếp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17/2003/TT-BGDĐT</w:t>
            </w:r>
          </w:p>
        </w:tc>
        <w:tc>
          <w:p/>
          <w:p>
            <w:pPr>
              <w:spacing w:after="0" w:before="0" w:lineRule="auto" w:line="276"/>
              <w:jc w:val="left"/>
            </w:pPr>
            <w:r>
              <w:rPr>
                <w:rFonts w:ascii="Times New Roman" w:hAnsi="Times New Roman" w:cs="Times New Roman" w:eastAsia="Times New Roman"/>
                <w:b w:val="false"/>
                <w:sz w:val="26"/>
              </w:rPr>
              <w:t>Thông tư 17/2003/TT-BGDĐT</w:t>
            </w:r>
          </w:p>
        </w:tc>
        <w:tc>
          <w:p/>
          <w:p>
            <w:pPr>
              <w:spacing w:after="0" w:before="0" w:lineRule="auto" w:line="276"/>
              <w:jc w:val="left"/>
            </w:pPr>
            <w:r>
              <w:rPr>
                <w:rFonts w:ascii="Times New Roman" w:hAnsi="Times New Roman" w:cs="Times New Roman" w:eastAsia="Times New Roman"/>
                <w:b w:val="false"/>
                <w:sz w:val="26"/>
              </w:rPr>
              <w:t>28-04-2003</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2026-05-02T11:24:49Z</dcterms:created>
  <dc:creator>Apache POI</dc:creator>
</cp:coreProperties>
</file>