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46/2017/NĐ-CP </w:t>
            </w:r>
          </w:p>
        </w:tc>
        <w:tc>
          <w:p/>
          <w:p>
            <w:pPr>
              <w:spacing w:after="0" w:before="0" w:lineRule="auto" w:line="276"/>
              <w:jc w:val="left"/>
            </w:pPr>
            <w:r>
              <w:rPr>
                <w:rFonts w:ascii="Times New Roman" w:hAnsi="Times New Roman" w:cs="Times New Roman" w:eastAsia="Times New Roman"/>
                <w:b w:val="false"/>
                <w:sz w:val="26"/>
              </w:rPr>
              <w:t>Sau thời hạn đình chỉ, nếu trường mẫu giáo, trường mầm non, nhà trẻ khắc phục được những nguyên nhân dẫn đến việc đình chỉ</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2026-05-02T11:27:08Z</dcterms:created>
  <dc:creator>Apache POI</dc:creator>
</cp:coreProperties>
</file>