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2.001384.H50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2529/QĐ-UBND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An toàn đập, hồ chứa thuỷ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2.	Bước 1: Người đề nghị Phê duyệt phương án cắm mốc chỉ giới xác định phạm vi bảo vệ đập thủy điện đến bộ phận một cửa Trung tâm Phục vụ hành chính công tỉnh Quảng Trị:
- Cơ sở 1: Số 96 đường Phạm Văn Đồng, phường Đồng Hới, tỉnh Quảng Trị; Điện thoại: 0232.3812.812.
- Cơ sở 2: Số 45 Hùng Vương, phường Đông Hà, tỉnh Quảng Trị; Điện thoại: 0233.3636.948.
- Thời gian tiếp nhận hồ sơ, trả kết quả: Buổi sáng từ 8h-11h, buổi chiều từ 13h30-16h30 các ngày từ thứ 2 đến thứ 6, trừ các ngày nghỉ, lễ, tết.
Bước 2:
Bước 1: Tổ chức, cá nhân gửi hồ sơ đến Ủy ban nhân dân cấp tỉnh;
Bước 2: Trong thời hạn 05 ngày làm việc, kể từ ngày nhận hồ sơ, Ủy ban nhân dân cấp tỉnh có trách nhiệm xem xét, kiểm tra hồ sơ; trường hợp hồ sơ chưa hợp lệ, Ủy ban nhân dân cấp tỉnh thông báo bằng văn bản cho chủ sở hữu đập, hồ chứa thủy điện để hoàn chỉnh hồ sơ theo quy định.
- Bước 3: Trong thời hạn 25 ngày, kể từ ngày nhận đủ hồ sơ hợp lệ Ủy ban nhân dân cấp tỉnh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tỉnh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tỉnh có trách nhiệm ban hành văn bản yêu cầu chủ sở hữu đập, hồ chứa thủy điện điều chỉnh, bổ sung phương án cắm mốc chỉ giới.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30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 Trong thời hạn 25 ngày, kể từ ngày nhận đủ hồ sơ hợp lệ Ủy ban nhân dân cấp xã có trách nhiệm tổ chức thẩm định: 
Trường hợp nội dung phương án cắm mốc chỉ giới phù hợp với quy định của pháp luật hiện hành và đặc điểm nơi xây dựng đập, trong thời hạn 05 ngày làm việc kể từ ngày tổ chức thẩm định, Ủy ban nhân dân cấp xã có trách nhiệm phê duyệt. 
Trường hợp nội dung phương án cắm mốc chỉ giới không phù hợp với quy định của pháp luật hiện hành hoặc không phù hợp với đặc điểm nơi xây dựng đập, trong thời hạn 05 ngày làm việc kể từ ngày tổ chức thẩm định, Ủy ban nhân dân cấp xã có trách nhiệm ban hành văn bản yêu cầu chủ sở hữu đập, hồ chứa thủy điện điều chỉnh, bổ sung phương án cắm mốc chỉ giới.</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nghị phê duyệt;</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Phương án cắm mốc chỉ giới;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Công Thương - tỉnh Quảng Trị, 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Quảng trị</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Phê duyệt phương án cắm mốc chỉ giới xác định phạm vi bảo vệ đập thủy điện</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114/2018/NĐ-CP</w:t>
            </w:r>
          </w:p>
        </w:tc>
        <w:tc>
          <w:p/>
          <w:p>
            <w:pPr>
              <w:spacing w:after="0" w:before="0" w:lineRule="auto" w:line="276"/>
              <w:jc w:val="left"/>
            </w:pPr>
            <w:r>
              <w:rPr>
                <w:rFonts w:ascii="Times New Roman" w:hAnsi="Times New Roman" w:cs="Times New Roman" w:eastAsia="Times New Roman"/>
                <w:b w:val="false"/>
                <w:sz w:val="26"/>
              </w:rPr>
              <w:t>Nghị định 114/2018/NĐ-CP</w:t>
            </w:r>
          </w:p>
        </w:tc>
        <w:tc>
          <w:p/>
          <w:p>
            <w:pPr>
              <w:spacing w:after="0" w:before="0" w:lineRule="auto" w:line="276"/>
              <w:jc w:val="left"/>
            </w:pPr>
            <w:r>
              <w:rPr>
                <w:rFonts w:ascii="Times New Roman" w:hAnsi="Times New Roman" w:cs="Times New Roman" w:eastAsia="Times New Roman"/>
                <w:b w:val="false"/>
                <w:sz w:val="26"/>
              </w:rPr>
              <w:t>04-09-2018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139/2025/NĐ-CP</w:t>
            </w:r>
          </w:p>
        </w:tc>
        <w:tc>
          <w:p/>
          <w:p>
            <w:pPr>
              <w:spacing w:after="0" w:before="0" w:lineRule="auto" w:line="276"/>
              <w:jc w:val="left"/>
            </w:pPr>
            <w:r>
              <w:rPr>
                <w:rFonts w:ascii="Times New Roman" w:hAnsi="Times New Roman" w:cs="Times New Roman" w:eastAsia="Times New Roman"/>
                <w:b w:val="false"/>
                <w:sz w:val="26"/>
              </w:rPr>
              <w:t>Quy định về phân định thẩm quyền của chính quyền địa phương 02 cấp trong lĩnh vực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1288/QĐ-UBND</w:t>
            </w:r>
          </w:p>
        </w:tc>
        <w:tc>
          <w:p/>
          <w:p>
            <w:pPr>
              <w:spacing w:after="0" w:before="0" w:lineRule="auto" w:line="276"/>
              <w:jc w:val="left"/>
            </w:pPr>
            <w:r>
              <w:rPr>
                <w:rFonts w:ascii="Times New Roman" w:hAnsi="Times New Roman" w:cs="Times New Roman" w:eastAsia="Times New Roman"/>
                <w:b w:val="false"/>
                <w:sz w:val="26"/>
              </w:rPr>
              <w:t>Quyết định Công bố Danh mục thủ tục hành chính được sửa đổi, bổ sung trong các lĩnh vực Kinh doanh khí, Lưu thông hàng hóa trong nước, Tài sản kết cấu hạ tầng chợ do nhà nước đầu tư quản lý, An toàn đập, hồ chứa thủy điện, Công nghiệp địa phương, Công nghiệp tiêu dùng thuộc thẩm quyền giải quyết của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03-09-2025</w:t>
            </w:r>
          </w:p>
        </w:tc>
        <w:tc>
          <w:p/>
        </w:tc>
      </w:tr>
      <w:tr>
        <w:tc>
          <w:p/>
          <w:p>
            <w:pPr>
              <w:spacing w:after="0" w:before="0" w:lineRule="auto" w:line="276"/>
              <w:jc w:val="left"/>
            </w:pPr>
            <w:r>
              <w:rPr>
                <w:rFonts w:ascii="Times New Roman" w:hAnsi="Times New Roman" w:cs="Times New Roman" w:eastAsia="Times New Roman"/>
                <w:b w:val="false"/>
                <w:sz w:val="26"/>
              </w:rPr>
              <w:t>2529/QĐ-UBND</w:t>
            </w:r>
          </w:p>
        </w:tc>
        <w:tc>
          <w:p/>
          <w:p>
            <w:pPr>
              <w:spacing w:after="0" w:before="0" w:lineRule="auto" w:line="276"/>
              <w:jc w:val="left"/>
            </w:pPr>
            <w:r>
              <w:rPr>
                <w:rFonts w:ascii="Times New Roman" w:hAnsi="Times New Roman" w:cs="Times New Roman" w:eastAsia="Times New Roman"/>
                <w:b w:val="false"/>
                <w:sz w:val="26"/>
              </w:rPr>
              <w:t>Công bố Danh mục thủ tục hành chính được sửa đổi, bổ sung hoặc bị bãi bỏ trong các lĩnh vực thuộc thẩm quyền giải quyết của UBND tỉnh, Sở Công Thương và UBND cấp xã trên địa bàn tỉnh Quảng Trị</w:t>
            </w:r>
          </w:p>
        </w:tc>
        <w:tc>
          <w:p/>
          <w:p>
            <w:pPr>
              <w:spacing w:after="0" w:before="0" w:lineRule="auto" w:line="276"/>
              <w:jc w:val="left"/>
            </w:pPr>
            <w:r>
              <w:rPr>
                <w:rFonts w:ascii="Times New Roman" w:hAnsi="Times New Roman" w:cs="Times New Roman" w:eastAsia="Times New Roman"/>
                <w:b w:val="false"/>
                <w:sz w:val="26"/>
              </w:rPr>
              <w:t>10-11-2025</w:t>
            </w:r>
          </w:p>
        </w:tc>
        <w:tc>
          <w:p/>
          <w:p>
            <w:pPr>
              <w:spacing w:after="0" w:before="0" w:lineRule="auto" w:line="276"/>
              <w:jc w:val="left"/>
            </w:pPr>
            <w:r>
              <w:rPr>
                <w:rFonts w:ascii="Times New Roman" w:hAnsi="Times New Roman" w:cs="Times New Roman" w:eastAsia="Times New Roman"/>
                <w:b w:val="false"/>
                <w:sz w:val="26"/>
              </w:rPr>
              <w:t>UBND tỉnh Quảng Trị</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Các trường hợp phải cắm mốc chỉ giới:
- Đập của hồ chứa thủy điện có dung tích từ 500.000 m3 trở lên;
- Đập có chiều cao từ 15 m trở lên.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2026-05-02T11:24:13Z</dcterms:created>
  <dc:creator>Apache POI</dc:creator>
</cp:coreProperties>
</file>