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2.000930.000.00.00.H41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thôi làm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trưởng tổ hòa giải đề nghị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10 ngày,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Ủy ban nhân dân cấp xã ra quyết định thôi làm hòa giải viên (Mẫu số 08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Đối với trường hợp thôi làm hòa giải viên theo quy định tại Điểm b, Điểm c Khoản 1 Điều 11 của Luật hòa giải ở cơ sở, nếu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 thì Trưởng ban công tác Mặt trận thông báo với tổ trưởng tổ hòa giải, nêu rõ lý do không đồng ý, đồng thời báo cáo Chủ tịch Ủy ban nhân dân cấp xã xem xét, quyết định (Mẫu số 09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Trường hợp thôi làm hòa giải viên đối với tổ trưởng tổ hòa giải thì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UBND cấp xã ra quyết định thôi làm hòa giải viên. - Trong thời hạn 05 ngày làm việc kể từ ngày nhận được văn bản đề nghị hoặc báo cáo về việc thôi làm hòa giải viên, Chủ tịch UBND cấp xã xem xét, quyết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UBND cấp xã ra quyết định thôi làm hòa giải viên.
- Trong thời hạn 05 ngày làm việc kể từ ngày nhận được văn bản đề nghị hoặc báo cáo về việc thôi làm hòa giải viên, Chủ tịch UBND cấp xã xem xét, quyết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UBND cấp xã ra quyết định thôi làm hòa giải viên. - Trong thời hạn 05 ngày làm việc kể từ ngày nhận được văn bản đề nghị hoặc báo cáo về việc thôi làm hòa giải viên, Chủ tịch UBND cấp xã xem xét, quyết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UBND cấp xã ra quyết định thôi làm hòa giải viên.
- Trong thời hạn 05 ngày làm việc kể từ ngày nhận được văn bản đề nghị hoặc báo cáo về việc thôi làm hòa giải viên, Chủ tịch UBND cấp xã xem xét,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UBND cấp xã ra quyết định thôi làm hòa giải viên. - Trong thời hạn 05 ngày làm việc kể từ ngày nhận được văn bản đề nghị hoặc báo cáo về việc thôi làm hòa giải viên, Chủ tịch UBND cấp xã xem xét, quyết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UBND cấp xã ra quyết định thôi làm hòa giải viên.
- Trong thời hạn 05 ngày làm việc kể từ ngày nhận được văn bản đề nghị hoặc báo cáo về việc thôi làm hòa giải viên, Chủ tịch UBND cấp xã xem xét,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ra quyết định thôi làm hòa giải viên (Mẫu số 08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việc thôi làm hòa giải viên (Mẫu số 09 tại Phụ lục ban hành kèm theo Nghị quyết liên tịch số 01/2014/NQLT-CP-UBTƯMTTQVN) trong trường hợp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theo một trong các cách thức sau: - Nộp hồ sơ trực tiếp hoặc gửi qua dịch vụ bưu chính đến Trung tâm Phục vụ hành chính công cấp xã; - Hoặc nộp hồ sơ trực tuyến tại Cổng dịch vụ công quốc gia (toàn trình) tại địa chỉ: 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làm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01/2014/NQLT/CP-UBTƯMTTQVN </w:t>
            </w:r>
          </w:p>
        </w:tc>
        <w:tc>
          <w:p/>
          <w:p>
            <w:pPr>
              <w:spacing w:after="0" w:before="0" w:lineRule="auto" w:line="276"/>
              <w:jc w:val="left"/>
            </w:pPr>
            <w:r>
              <w:rPr>
                <w:rFonts w:ascii="Times New Roman" w:hAnsi="Times New Roman" w:cs="Times New Roman" w:eastAsia="Times New Roman"/>
                <w:b w:val="false"/>
                <w:sz w:val="26"/>
              </w:rPr>
              <w:t>hướng dẫn phối hợp thực hiện một số quy định của pháp luật về hòa giải ở cơ sở</w:t>
            </w:r>
          </w:p>
        </w:tc>
        <w:tc>
          <w:p/>
          <w:p>
            <w:pPr>
              <w:spacing w:after="0" w:before="0" w:lineRule="auto" w:line="276"/>
              <w:jc w:val="left"/>
            </w:pPr>
            <w:r>
              <w:rPr>
                <w:rFonts w:ascii="Times New Roman" w:hAnsi="Times New Roman" w:cs="Times New Roman" w:eastAsia="Times New Roman"/>
                <w:b w:val="false"/>
                <w:sz w:val="26"/>
              </w:rPr>
              <w:t>18-11-2014</w:t>
            </w:r>
          </w:p>
        </w:tc>
        <w:tc>
          <w:p/>
        </w:tc>
      </w:tr>
      <w:tr>
        <w:tc>
          <w:p/>
          <w:p>
            <w:pPr>
              <w:spacing w:after="0" w:before="0" w:lineRule="auto" w:line="276"/>
              <w:jc w:val="left"/>
            </w:pPr>
            <w:r>
              <w:rPr>
                <w:rFonts w:ascii="Times New Roman" w:hAnsi="Times New Roman" w:cs="Times New Roman" w:eastAsia="Times New Roman"/>
                <w:b w:val="false"/>
                <w:sz w:val="26"/>
              </w:rPr>
              <w:t>08/2013/L-CTN</w:t>
            </w:r>
          </w:p>
        </w:tc>
        <w:tc>
          <w:p/>
          <w:p>
            <w:pPr>
              <w:spacing w:after="0" w:before="0" w:lineRule="auto" w:line="276"/>
              <w:jc w:val="left"/>
            </w:pPr>
            <w:r>
              <w:rPr>
                <w:rFonts w:ascii="Times New Roman" w:hAnsi="Times New Roman" w:cs="Times New Roman" w:eastAsia="Times New Roman"/>
                <w:b w:val="false"/>
                <w:sz w:val="26"/>
              </w:rPr>
              <w:t>Lệnh 08/2013/L-CTN</w:t>
            </w:r>
          </w:p>
        </w:tc>
        <w:tc>
          <w:p/>
          <w:p>
            <w:pPr>
              <w:spacing w:after="0" w:before="0" w:lineRule="auto" w:line="276"/>
              <w:jc w:val="left"/>
            </w:pPr>
            <w:r>
              <w:rPr>
                <w:rFonts w:ascii="Times New Roman" w:hAnsi="Times New Roman" w:cs="Times New Roman" w:eastAsia="Times New Roman"/>
                <w:b w:val="false"/>
                <w:sz w:val="26"/>
              </w:rPr>
              <w:t>29-06-2013</w:t>
            </w:r>
          </w:p>
        </w:tc>
        <w:tc>
          <w:p/>
        </w:tc>
      </w:tr>
      <w:tr>
        <w:tc>
          <w:p/>
          <w:p>
            <w:pPr>
              <w:spacing w:after="0" w:before="0" w:lineRule="auto" w:line="276"/>
              <w:jc w:val="left"/>
            </w:pPr>
            <w:r>
              <w:rPr>
                <w:rFonts w:ascii="Times New Roman" w:hAnsi="Times New Roman" w:cs="Times New Roman" w:eastAsia="Times New Roman"/>
                <w:b w:val="false"/>
                <w:sz w:val="26"/>
              </w:rPr>
              <w:t>15/2014/NĐ-CP</w:t>
            </w:r>
          </w:p>
        </w:tc>
        <w:tc>
          <w:p/>
          <w:p>
            <w:pPr>
              <w:spacing w:after="0" w:before="0" w:lineRule="auto" w:line="276"/>
              <w:jc w:val="left"/>
            </w:pPr>
            <w:r>
              <w:rPr>
                <w:rFonts w:ascii="Times New Roman" w:hAnsi="Times New Roman" w:cs="Times New Roman" w:eastAsia="Times New Roman"/>
                <w:b w:val="false"/>
                <w:sz w:val="26"/>
              </w:rPr>
              <w:t>Nghị định 15/2014/NĐ-CP</w:t>
            </w:r>
          </w:p>
        </w:tc>
        <w:tc>
          <w:p/>
          <w:p>
            <w:pPr>
              <w:spacing w:after="0" w:before="0" w:lineRule="auto" w:line="276"/>
              <w:jc w:val="left"/>
            </w:pPr>
            <w:r>
              <w:rPr>
                <w:rFonts w:ascii="Times New Roman" w:hAnsi="Times New Roman" w:cs="Times New Roman" w:eastAsia="Times New Roman"/>
                <w:b w:val="false"/>
                <w:sz w:val="26"/>
              </w:rPr>
              <w:t>28-02-2014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thôi làm hòa giải viên được thực hiện trong các trường hợp sau đây:
- Theo nguyện vọng của hòa giải viên;
- Hòa giải viên không còn đáp ứng một trong các tiêu chuẩn quy định tại Điều 7 của Luật hòa giải ở cơ sở;
- Vi phạm nguyên tắc tổ chức, hoạt động hòa giải ở cơ sở theo quy định tại Điều 4 của Luật hòa giải ở cơ sở hoặc không có điều kiện tiếp tục làm hòa giải viên do bị xử lý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2026-05-14T16:16:09Z</dcterms:created>
  <dc:creator>Apache POI</dc:creator>
</cp:coreProperties>
</file>