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văn bản (áp dụng cho cả trường hợp chứng thực điểm chỉ và trường hợp người yêu cầu chứng thực không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ký/điểm chỉ/không thể ký, không thể điểm chỉ được phải xuất trình các giấy tờ phục vụ việc chứng thực chữ ký.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 Người thực hiện chứng thực (hoặc người tiếp nhận hồ sơ)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Trung tâm phục vụ hành chính công cấp xã, Cơ quan đại diện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
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hoặc phải kéo dài thời gian theo thỏa thuận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t xml:space="preserve"> (+ Tại Ủy ban nhân dân cấp xã, Tổ chức hành nghề công chứng: 10.000 đồng/trường hợp (trường hợp được tính là một hoặc nhiều chữ ký trong một giấy tờ, văn bản). + Tại cơ quan đại diện: 10 USD/bản.)</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Tổ chức hành nghề công chứng, Cơ quan đại diện hoặc ngoài trụ sở của cơ quan thực hiện chứng thực nếu người yêu cầu chứng thực thuộc diện già yếu, không thể đi lại được, đang bị tạm giữ, tạm giam, thi hành án phạt tù hoặc có lý do chính đáng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Cơ quan đại diện có thẩm quyền,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2026-05-25T22:55:54Z</dcterms:created>
  <dc:creator>Apache POI</dc:creator>
</cp:coreProperties>
</file>