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Chủ tịch Ủy ban nhân dân cấp xã xác minh hoặc giao cơ quan chuyên môn thuộc Ủy ban nhân dân cấp xã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Ủy ban nhân dân cấp xã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w:t>
      </w:r>
    </w:p>
    <w:p>
      <w:pPr>
        <w:spacing w:after="0" w:before="0" w:lineRule="auto" w:line="276"/>
        <w:jc w:val="both"/>
      </w:pPr>
      <w:r>
        <w:rPr>
          <w:rFonts w:ascii="Times New Roman" w:hAnsi="Times New Roman" w:cs="Times New Roman" w:eastAsia="Times New Roman"/>
          <w:b w:val="false"/>
          <w:sz w:val="26"/>
        </w:rPr>
        <w:t>Bước 2: Xác minh nội dung tố cáo
1. Chủ tịch Ủy ban nhân dân cấp xã tiến hành xác minh hoặc giao cơ quan chuyên môn thuộc Ủy ban nhân dân cấp xã xác minh nội dung tố cáo (gọi chung là người xác minh nội dung tố cáo). Việc giao xác minh nội dung tố cáo phải thực hiện bằng văn bản.
2. Trường hợp người giải quyết tố cáo giao cho cơ quan chuyên môn xác minh nội dung tố cáo thì văn bản giao xác minh nội dung tố cáo thực hiện theo quy định tại khoản 2 Điều 31 Luật Tố cáo. Cơ quan chuyên môn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w:t>
      </w:r>
    </w:p>
    <w:p>
      <w:pPr>
        <w:spacing w:after="0" w:before="0" w:lineRule="auto" w:line="276"/>
        <w:jc w:val="both"/>
      </w:pPr>
      <w:r>
        <w:rPr>
          <w:rFonts w:ascii="Times New Roman" w:hAnsi="Times New Roman" w:cs="Times New Roman" w:eastAsia="Times New Roman"/>
          <w:b w:val="false"/>
          <w:sz w:val="26"/>
        </w:rPr>
        <w:t>Bước 3: Kết luận nội dung tố cáo 
Theo quy định tại Điều 35 Luật Tố cáo 2018 và Điều 17 Nghị định 31/2019/NĐ-CP:
1. Căn cứ vào nội dung tố cáo, giải trình của người bị tố cáo, kết quả xác minh nội dung tố cáo, tài liệu, chứng cứ có liên quan, Chủ tịch Ủy ban nhân dân cấp xã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w:t>
      </w:r>
    </w:p>
    <w:p>
      <w:pPr>
        <w:spacing w:after="0" w:before="0" w:lineRule="auto" w:line="276"/>
        <w:jc w:val="both"/>
      </w:pPr>
      <w:r>
        <w:rPr>
          <w:rFonts w:ascii="Times New Roman" w:hAnsi="Times New Roman" w:cs="Times New Roman" w:eastAsia="Times New Roman"/>
          <w:b w:val="false"/>
          <w:sz w:val="26"/>
        </w:rPr>
        <w:t>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chuyên môn theo dõi, đôn đốc việc thực hiện kết luận nội dung tố cáo. Trường hợp giao cho cơ quan chuyên môn theo dõi, đôn đốc việc thực hiện kết luận nội dung tố cáo thì cơ quan chuyên môn phải định kỳ hàng tháng báo cáo với người giải quyết tố cáo về kết quả theo dõi, đôn đốc việc thực hiện kết luận nội dung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 cáo được thực hiện bằng đơn (gửi qua đường bưu điện hoặc gửi trực tiếp đến cơ quan, người có thẩm quyền giải quyết)
- Tố cáo được trình bày trực tiếp với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ban hành kèm theo Nghị định số 31-2019-NĐ-CP.doc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25/2018/QH14</w:t>
            </w:r>
          </w:p>
        </w:tc>
        <w:tc>
          <w:p/>
          <w:p>
            <w:pPr>
              <w:spacing w:after="0" w:before="0" w:lineRule="auto" w:line="276"/>
              <w:jc w:val="left"/>
            </w:pPr>
            <w:r>
              <w:rPr>
                <w:rFonts w:ascii="Times New Roman" w:hAnsi="Times New Roman" w:cs="Times New Roman" w:eastAsia="Times New Roman"/>
                <w:b w:val="false"/>
                <w:sz w:val="26"/>
              </w:rPr>
              <w:t>Luật 25/2018/QH14</w:t>
            </w:r>
          </w:p>
        </w:tc>
        <w:tc>
          <w:p/>
          <w:p>
            <w:pPr>
              <w:spacing w:after="0" w:before="0" w:lineRule="auto" w:line="276"/>
              <w:jc w:val="left"/>
            </w:pPr>
            <w:r>
              <w:rPr>
                <w:rFonts w:ascii="Times New Roman" w:hAnsi="Times New Roman" w:cs="Times New Roman" w:eastAsia="Times New Roman"/>
                <w:b w:val="false"/>
                <w:sz w:val="26"/>
              </w:rPr>
              <w:t>12-06-2018</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141/2025/NĐ-CP</w:t>
            </w:r>
          </w:p>
        </w:tc>
        <w:tc>
          <w:p/>
          <w:p>
            <w:pPr>
              <w:spacing w:after="0" w:before="0" w:lineRule="auto" w:line="276"/>
              <w:jc w:val="left"/>
            </w:pPr>
            <w:r>
              <w:rPr>
                <w:rFonts w:ascii="Times New Roman" w:hAnsi="Times New Roman" w:cs="Times New Roman" w:eastAsia="Times New Roman"/>
                <w:b w:val="false"/>
                <w:sz w:val="26"/>
              </w:rPr>
              <w:t>Nghị định số 141/2025/NĐ-CP ngày 12 tháng 6 năm 2025 của Chính phủ quy định về phân định thẩm quyền của chính quyền địa phương 02 cấp trong lĩnh vực quản lý nhà nước của Thanh tra Chính phủ</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02/2025/TT-TTCP</w:t>
            </w:r>
          </w:p>
        </w:tc>
        <w:tc>
          <w:p/>
          <w:p>
            <w:pPr>
              <w:spacing w:after="0" w:before="0" w:lineRule="auto" w:line="276"/>
              <w:jc w:val="left"/>
            </w:pPr>
            <w:r>
              <w:rPr>
                <w:rFonts w:ascii="Times New Roman" w:hAnsi="Times New Roman" w:cs="Times New Roman" w:eastAsia="Times New Roman"/>
                <w:b w:val="false"/>
                <w:sz w:val="26"/>
              </w:rPr>
              <w:t>Thông tư số 02/2025/TT-TTCP ngày 25 tháng 6 năm 2025 hướng dẫn thực hiện một số quy định thuộc lĩnh vực quản lý nhà nước của Thanh tra Chính phủ liên quan đến chính quyền địa phương 02 cấp</w:t>
            </w:r>
          </w:p>
        </w:tc>
        <w:tc>
          <w:p/>
          <w:p>
            <w:pPr>
              <w:spacing w:after="0" w:before="0" w:lineRule="auto" w:line="276"/>
              <w:jc w:val="left"/>
            </w:pPr>
            <w:r>
              <w:rPr>
                <w:rFonts w:ascii="Times New Roman" w:hAnsi="Times New Roman" w:cs="Times New Roman" w:eastAsia="Times New Roman"/>
                <w:b w:val="false"/>
                <w:sz w:val="26"/>
              </w:rPr>
              <w:t>25-06-2025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2026-05-11T11:30:27Z</dcterms:created>
  <dc:creator>Apache POI</dc:creator>
</cp:coreProperties>
</file>