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2.002349.H50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thường trú ở khu vực biên giới đủ điều kiện nhận trẻ em của nước láng giềng cư trú ở khu vực biên giới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thường trú ở khu vực biên giới nộp hồ sơ cho Ủy ban nhân dân cấp xã nơi thường trú; 
- UBND cấp xã khai thác, sử dụng thông tin trên các cơ sở dữ liệu để thay thế thành phần hồ sơ của người nhận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có trách nhiệm yêu cầu cơ quan quản lý dữ liệu lý lịch tư pháp cung cấp thông tin lý lịch tư pháp; cá nhân khi thực hiện các thủ tục hành chính này không phải nộp Phiếu lý lịch tư pháp trong hồ sơ.
- Trong thời hạn 10 ngày làm việc kể từ ngày nhận được hồ sơ hợp lệ, Ủy ban nhân dân cấp xã kiểm tra hồ sơ và xác nhận nếu người nhận con nuôi có đủ điều kiện nuôi con nuôi theo quy định của pháp luật Việt Nam. Văn bản xác nhận đủ điều kiện được trả cho người có yêu cầu qua Cổng dịch vụ công quốc gia hoặc dịch vụ bưu chính hoặc tại Trung tâm phục vụ hành chính công của Ủy ban nhân dân cấp xã hoặc điểm tiếp nhận, trả kết quả giải quyết thủ tục hành chính theo quy định của pháp luật về thực hiện thủ tục hành chính theo cơ chế một cửa, một cửa liên thông; 
- Sau khi đăng ký nuôi con nuôi tại cơ quan có thẩm quyền của nước láng giềng, người nhận con nuôi phải làm thủ tục ghi chú việc nuôi con nuôi tại Ủy ban nhân dân cấp xã nơi người đó cư trú theo quy định của pháp luật về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Ủy ban nhân dân cấp xã;</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công dân Việt Nam thường trú ở khu vực biên giới đủ điều kiện nhận trẻ em của nước láng giềng cư trú tại khu vực biên giới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Nuôi con nuôi thuộc thẩm quyền giải quyết của UBND tỉnh, Sở Tư pháp, UBND cấp huyện, Phòng Tư pháp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10/2025/TT-BTP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10/2020/TT-BTP ngày 28 tháng 12 năm 2020 của Bộ trưởng Bộ Tư pháp ban hành, hướng dẫn việc ghi chép, sử dụng, quản lý và lưu trữ Sổ, mẫu giấy tờ, hồ sơ nuôi con nuôi được sửa đổi, bổ sung một số điều theo Thông tư số 07/2023/TT-BTP;</w:t>
            </w:r>
          </w:p>
        </w:tc>
        <w:tc>
          <w:p/>
          <w:p>
            <w:pPr>
              <w:spacing w:after="0" w:before="0" w:lineRule="auto" w:line="276"/>
              <w:jc w:val="left"/>
            </w:pPr>
            <w:r>
              <w:rPr>
                <w:rFonts w:ascii="Times New Roman" w:hAnsi="Times New Roman" w:cs="Times New Roman" w:eastAsia="Times New Roman"/>
                <w:b w:val="false"/>
                <w:sz w:val="26"/>
              </w:rPr>
              <w:t>20-06-2025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3388/QĐ-UBND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ban hành mới, sửa đổi, bổ sung hoặc bị bãi bỏ trong Lĩnh vực đường sắt, Lĩnh vực đăng kiểm thuộc thẩm quyền giải quyết của UBND tỉnh và Sở Xây dựng tỉnh Quảng Trị</w:t>
            </w:r>
          </w:p>
        </w:tc>
        <w:tc>
          <w:p/>
          <w:p>
            <w:pPr>
              <w:spacing w:after="0" w:before="0" w:lineRule="auto" w:line="276"/>
              <w:jc w:val="left"/>
            </w:pPr>
            <w:r>
              <w:rPr>
                <w:rFonts w:ascii="Times New Roman" w:hAnsi="Times New Roman" w:cs="Times New Roman" w:eastAsia="Times New Roman"/>
                <w:b w:val="false"/>
                <w:sz w:val="26"/>
              </w:rPr>
              <w:t>07-01-2026</w:t>
            </w:r>
          </w:p>
        </w:tc>
        <w:tc>
          <w:p/>
        </w:tc>
      </w:tr>
      <w:tr>
        <w:tc>
          <w:p/>
          <w:p>
            <w:pPr>
              <w:spacing w:after="0" w:before="0" w:lineRule="auto" w:line="276"/>
              <w:jc w:val="left"/>
            </w:pPr>
            <w:r>
              <w:rPr>
                <w:rFonts w:ascii="Times New Roman" w:hAnsi="Times New Roman" w:cs="Times New Roman" w:eastAsia="Times New Roman"/>
                <w:b w:val="false"/>
                <w:sz w:val="26"/>
              </w:rPr>
              <w:t>397/QĐ-UBND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lĩnh vực Nuôi con nuôi thuộc thẩm quyền giải quyết của UBND tỉnh,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03-02-2026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 dì, chú bác ruột nhận cháu làm con nuôi;
- Có tư cách đạo đức tốt.
- Các điều kiện theo quy định pháp luật của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2026-05-02T11:24:14Z</dcterms:created>
  <dc:creator>Apache POI</dc:creator>
</cp:coreProperties>
</file>