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3.000182.000.00.00.H18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sinh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Hằng năm tổ chức 01 (một) lần tuyển sinh trung học cơ sở.
2. Tuyển sinh trung học cơ sở được thực hiện theo phương thức xét tuyển.
3. Tiêu chí xét tuyển do Sở Giáo dục và Đào tạo hướng dẫn cụ thể, bảo đảm thực hiện việc xét tuyển công bằng, khách quan, minh bạch, phù hợp với tình hình thực tế tại địa phương.
Đối với trường trung học cơ sở, trường phổ thông có nhiều cấp học trong đó có cấp trung học cơ sở (sau đây gọi chung là trường trung học cơ sở) thuộc đại học, trường đại học, viện nghiên cứu, tiêu chí xét tuyển do đại học, trường đại học, viện nghiên cứu trực tiếp quản lý hướng dẫn hoặc thực hiện theo hướng dẫn của Sở Giáo dục và Đào tạo nơi trường đặt trụ sở.
4. Quy trình tuyển sinh trung học cơ sở
a) Chủ tịch Ủy ban nhân dân xã, phê duyệt kế hoạch tuyển sinh trung học cơ sở. Kế hoạch tuyển sinh trung học cơ sở bao gồm các nội dung cơ bản sau: đối tượng tuyển sinh; chỉ tiêu và địa bàn tuyển sinh; tiêu chí xét tuyển; thời gian xét tuyển và công bố kết quả tuyển sinh. Kế hoạch tuyển sinh trung học cơ sở được công bố trước ngày 31 tháng 3 hằng năm.
Đối với các trường trung học cơ sở thuộc đại học, trường đại học, viện nghiên cứu, kế hoạch tuyển sinh trung học cơ sở do Giám đốc đại học, Hiệu trưởng trường đại học, Viện trưởng viện nghiên cứu trực tiếp quản lý quyết định sau khi thống nhất với Ủy ban nhân dân xã tạo nơi trường đặt trụ sở.
b) Căn cứ kế hoạch tuyển sinh trung học cơ sở đã được phê duyệt, Hội đồng tuyển sinh trung học cơ sở xây dựng và thông báo công khai kế hoạch tuyển sinh của nhà trường; tổ chức việc đăng ký tuyển sinh, tiếp nhận và chuẩn bị nội dung đăng ký tuyển sinh.
c) Hội đồng tuyển sinh trung học cơ sở tổ chức việc xét tuyển theo kế hoạch tuyển sinh đã được phê duyệt; đề xuất danh sách học sinh trúng tuyển với Hiệu trưởng nhà trường để trình Chủ tịch Ủy ban nhân dân cấp xã phê duyệt.
Đối với các trường trung học cơ sở thuộc đại học, trường đại học, viện nghiên cứu, danh sách học sinh trúng tuyển do Giám đốc đại học, Hiệu trưởng trường đại học, Viện trưởng viện nghiên cứu trực tiếp quản lý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hướng dẫn của Sở Giáo dục và Đào tạo.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hướng dẫn của Sở Giáo dục và Đào tạo.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hướng dẫn của Sở Giáo dục và Đào tạo.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Chưa có quy định cụ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phổ thông,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tuyển vào học lớp 6</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11/2014/TT-BGDĐT</w:t>
            </w:r>
          </w:p>
        </w:tc>
        <w:tc>
          <w:p/>
          <w:p>
            <w:pPr>
              <w:spacing w:after="0" w:before="0" w:lineRule="auto" w:line="276"/>
              <w:jc w:val="left"/>
            </w:pPr>
            <w:r>
              <w:rPr>
                <w:rFonts w:ascii="Times New Roman" w:hAnsi="Times New Roman" w:cs="Times New Roman" w:eastAsia="Times New Roman"/>
                <w:b w:val="false"/>
                <w:sz w:val="26"/>
              </w:rPr>
              <w:t>Thông tư 11/2014/TT-BGDĐT</w:t>
            </w:r>
          </w:p>
        </w:tc>
        <w:tc>
          <w:p/>
          <w:p>
            <w:pPr>
              <w:spacing w:after="0" w:before="0" w:lineRule="auto" w:line="276"/>
              <w:jc w:val="left"/>
            </w:pPr>
            <w:r>
              <w:rPr>
                <w:rFonts w:ascii="Times New Roman" w:hAnsi="Times New Roman" w:cs="Times New Roman" w:eastAsia="Times New Roman"/>
                <w:b w:val="false"/>
                <w:sz w:val="26"/>
              </w:rPr>
              <w:t>18-04-2014</w:t>
            </w:r>
          </w:p>
        </w:tc>
        <w:tc>
          <w:p/>
        </w:tc>
      </w:tr>
      <w:tr>
        <w:tc>
          <w:p/>
          <w:p>
            <w:pPr>
              <w:spacing w:after="0" w:before="0" w:lineRule="auto" w:line="276"/>
              <w:jc w:val="left"/>
            </w:pPr>
            <w:r>
              <w:rPr>
                <w:rFonts w:ascii="Times New Roman" w:hAnsi="Times New Roman" w:cs="Times New Roman" w:eastAsia="Times New Roman"/>
                <w:b w:val="false"/>
                <w:sz w:val="26"/>
              </w:rPr>
              <w:t>18/2014/TT-BGDĐT</w:t>
            </w:r>
          </w:p>
        </w:tc>
        <w:tc>
          <w:p/>
          <w:p>
            <w:pPr>
              <w:spacing w:after="0" w:before="0" w:lineRule="auto" w:line="276"/>
              <w:jc w:val="left"/>
            </w:pPr>
            <w:r>
              <w:rPr>
                <w:rFonts w:ascii="Times New Roman" w:hAnsi="Times New Roman" w:cs="Times New Roman" w:eastAsia="Times New Roman"/>
                <w:b w:val="false"/>
                <w:sz w:val="26"/>
              </w:rPr>
              <w:t>Thông tư 18/2014/TT-BGDĐT</w:t>
            </w:r>
          </w:p>
        </w:tc>
        <w:tc>
          <w:p/>
          <w:p>
            <w:pPr>
              <w:spacing w:after="0" w:before="0" w:lineRule="auto" w:line="276"/>
              <w:jc w:val="left"/>
            </w:pPr>
            <w:r>
              <w:rPr>
                <w:rFonts w:ascii="Times New Roman" w:hAnsi="Times New Roman" w:cs="Times New Roman" w:eastAsia="Times New Roman"/>
                <w:b w:val="false"/>
                <w:sz w:val="26"/>
              </w:rPr>
              <w:t>26-05-2014</w:t>
            </w:r>
          </w:p>
        </w:tc>
        <w:tc>
          <w:p/>
        </w:tc>
      </w:tr>
      <w:tr>
        <w:tc>
          <w:p/>
          <w:p>
            <w:pPr>
              <w:spacing w:after="0" w:before="0" w:lineRule="auto" w:line="276"/>
              <w:jc w:val="left"/>
            </w:pPr>
            <w:r>
              <w:rPr>
                <w:rFonts w:ascii="Times New Roman" w:hAnsi="Times New Roman" w:cs="Times New Roman" w:eastAsia="Times New Roman"/>
                <w:b w:val="false"/>
                <w:sz w:val="26"/>
              </w:rPr>
              <w:t>05/2018/TT-BGDĐT</w:t>
            </w:r>
          </w:p>
        </w:tc>
        <w:tc>
          <w:p/>
          <w:p>
            <w:pPr>
              <w:spacing w:after="0" w:before="0" w:lineRule="auto" w:line="276"/>
              <w:jc w:val="left"/>
            </w:pPr>
            <w:r>
              <w:rPr>
                <w:rFonts w:ascii="Times New Roman" w:hAnsi="Times New Roman" w:cs="Times New Roman" w:eastAsia="Times New Roman"/>
                <w:b w:val="false"/>
                <w:sz w:val="26"/>
              </w:rPr>
              <w:t>Thông tư 05/2018/TT-BGDĐT</w:t>
            </w:r>
          </w:p>
        </w:tc>
        <w:tc>
          <w:p/>
          <w:p>
            <w:pPr>
              <w:spacing w:after="0" w:before="0" w:lineRule="auto" w:line="276"/>
              <w:jc w:val="left"/>
            </w:pPr>
            <w:r>
              <w:rPr>
                <w:rFonts w:ascii="Times New Roman" w:hAnsi="Times New Roman" w:cs="Times New Roman" w:eastAsia="Times New Roman"/>
                <w:b w:val="false"/>
                <w:sz w:val="26"/>
              </w:rPr>
              <w:t>28-02-2018</w:t>
            </w:r>
          </w:p>
        </w:tc>
        <w:tc>
          <w:p/>
        </w:tc>
      </w:tr>
      <w:tr>
        <w:tc>
          <w:p/>
          <w:p>
            <w:pPr>
              <w:spacing w:after="0" w:before="0" w:lineRule="auto" w:line="276"/>
              <w:jc w:val="left"/>
            </w:pPr>
            <w:r>
              <w:rPr>
                <w:rFonts w:ascii="Times New Roman" w:hAnsi="Times New Roman" w:cs="Times New Roman" w:eastAsia="Times New Roman"/>
                <w:b w:val="false"/>
                <w:sz w:val="26"/>
              </w:rPr>
              <w:t>30/2024/TT-BGDĐT</w:t>
            </w:r>
          </w:p>
        </w:tc>
        <w:tc>
          <w:p/>
          <w:p>
            <w:pPr>
              <w:spacing w:after="0" w:before="0" w:lineRule="auto" w:line="276"/>
              <w:jc w:val="left"/>
            </w:pPr>
            <w:r>
              <w:rPr>
                <w:rFonts w:ascii="Times New Roman" w:hAnsi="Times New Roman" w:cs="Times New Roman" w:eastAsia="Times New Roman"/>
                <w:b w:val="false"/>
                <w:sz w:val="26"/>
              </w:rPr>
              <w:t>Quy chế tuyển sinh trung học cơ sở và tuyển sinh trung học phổ thông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Học sinh hoàn thành chương trình giáo dục phổ thông cấp tiểu học, học viên hoàn thành chương trình xóa mù chữ giai đoạn 2, trong độ tuổi vào học lớp 6 theo quy định tại Điều lệ trường trung học cơ sở, trường trung học phổ thông và trường phổ thông có nhiều cấp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2026-05-09T06:43:54Z</dcterms:created>
  <dc:creator>Apache POI</dc:creator>
</cp:coreProperties>
</file>